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1BDDEA">
      <w:pPr>
        <w:spacing w:line="600" w:lineRule="exact"/>
        <w:rPr>
          <w:rFonts w:hint="eastAsia" w:ascii="黑体" w:hAnsi="黑体" w:eastAsia="黑体"/>
          <w:sz w:val="32"/>
          <w:szCs w:val="32"/>
        </w:rPr>
      </w:pPr>
      <w:bookmarkStart w:id="6" w:name="_GoBack"/>
      <w:bookmarkEnd w:id="6"/>
      <w:r>
        <w:rPr>
          <w:rFonts w:hint="eastAsia" w:ascii="黑体" w:hAnsi="黑体" w:eastAsia="黑体" w:cs="方正小标宋简体"/>
          <w:sz w:val="32"/>
          <w:szCs w:val="32"/>
        </w:rPr>
        <w:t>附件</w:t>
      </w:r>
      <w:r>
        <w:rPr>
          <w:rFonts w:ascii="黑体" w:hAnsi="黑体" w:eastAsia="黑体" w:cs="方正小标宋简体"/>
          <w:sz w:val="32"/>
          <w:szCs w:val="32"/>
        </w:rPr>
        <w:t>3</w:t>
      </w:r>
    </w:p>
    <w:p w14:paraId="681D1A12">
      <w:pPr>
        <w:snapToGrid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第十七届山东省职业院校技能大赛</w:t>
      </w:r>
      <w:bookmarkStart w:id="0" w:name="_Toc383625595"/>
    </w:p>
    <w:p w14:paraId="61522CDD">
      <w:pPr>
        <w:snapToGrid w:val="0"/>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44"/>
          <w:szCs w:val="44"/>
        </w:rPr>
        <w:t>赛项规程编制要求</w:t>
      </w:r>
      <w:bookmarkEnd w:id="0"/>
    </w:p>
    <w:p w14:paraId="28900117">
      <w:pPr>
        <w:widowControl/>
        <w:snapToGrid w:val="0"/>
        <w:spacing w:line="580" w:lineRule="exact"/>
        <w:ind w:firstLine="640" w:firstLineChars="200"/>
        <w:rPr>
          <w:rFonts w:hint="eastAsia" w:ascii="仿宋_GB2312" w:hAnsi="宋体" w:eastAsia="仿宋_GB2312"/>
          <w:kern w:val="0"/>
          <w:sz w:val="32"/>
          <w:szCs w:val="32"/>
        </w:rPr>
      </w:pPr>
      <w:r>
        <w:rPr>
          <w:rFonts w:hint="eastAsia" w:ascii="仿宋_GB2312" w:eastAsia="仿宋_GB2312"/>
          <w:sz w:val="32"/>
          <w:szCs w:val="32"/>
          <w:shd w:val="clear" w:color="auto" w:fill="FFFFFF"/>
        </w:rPr>
        <w:t>为</w:t>
      </w:r>
      <w:r>
        <w:rPr>
          <w:rFonts w:hint="eastAsia" w:ascii="仿宋_GB2312" w:hAnsi="宋体" w:eastAsia="仿宋_GB2312" w:cs="仿宋_GB2312"/>
          <w:kern w:val="0"/>
          <w:sz w:val="32"/>
          <w:szCs w:val="32"/>
        </w:rPr>
        <w:t>进一步细化各赛项承办单位申报方案，严格</w:t>
      </w:r>
      <w:r>
        <w:rPr>
          <w:rFonts w:hint="eastAsia" w:ascii="Calibri" w:hAnsi="Calibri" w:eastAsia="仿宋_GB2312" w:cs="仿宋_GB2312"/>
          <w:kern w:val="0"/>
          <w:sz w:val="32"/>
          <w:szCs w:val="32"/>
        </w:rPr>
        <w:t>遵循</w:t>
      </w:r>
      <w:r>
        <w:rPr>
          <w:rFonts w:hint="eastAsia" w:ascii="仿宋_GB2312" w:hAnsi="宋体" w:eastAsia="仿宋_GB2312" w:cs="仿宋_GB2312"/>
          <w:kern w:val="0"/>
          <w:sz w:val="32"/>
          <w:szCs w:val="32"/>
        </w:rPr>
        <w:t>公开、公平、公正的竞赛原则，</w:t>
      </w:r>
      <w:r>
        <w:rPr>
          <w:rFonts w:ascii="仿宋_GB2312" w:hAnsi="宋体" w:eastAsia="仿宋_GB2312" w:cs="仿宋_GB2312"/>
          <w:kern w:val="0"/>
          <w:sz w:val="32"/>
          <w:szCs w:val="32"/>
        </w:rPr>
        <w:t>让参赛院校、指导老师和选手全面、准确地了解竞赛项目，</w:t>
      </w:r>
      <w:r>
        <w:rPr>
          <w:rFonts w:hint="eastAsia" w:ascii="仿宋_GB2312" w:hAnsi="宋体" w:eastAsia="仿宋_GB2312" w:cs="仿宋_GB2312"/>
          <w:kern w:val="0"/>
          <w:sz w:val="32"/>
          <w:szCs w:val="32"/>
        </w:rPr>
        <w:t>特制定第十七届山东省职业院校技能大赛赛项规程编制要求。</w:t>
      </w:r>
    </w:p>
    <w:p w14:paraId="37868AED">
      <w:pPr>
        <w:snapToGrid w:val="0"/>
        <w:spacing w:line="580" w:lineRule="exact"/>
        <w:ind w:firstLine="640" w:firstLineChars="200"/>
        <w:rPr>
          <w:rFonts w:hint="eastAsia" w:ascii="黑体" w:hAnsi="黑体" w:eastAsia="黑体" w:cs="黑体"/>
          <w:bCs/>
          <w:kern w:val="0"/>
          <w:sz w:val="32"/>
          <w:szCs w:val="32"/>
        </w:rPr>
      </w:pPr>
      <w:r>
        <w:rPr>
          <w:rFonts w:hint="eastAsia" w:ascii="黑体" w:hAnsi="黑体" w:eastAsia="黑体" w:cs="黑体"/>
          <w:bCs/>
          <w:kern w:val="0"/>
          <w:sz w:val="32"/>
          <w:szCs w:val="32"/>
        </w:rPr>
        <w:t>一、赛项规程编制的基本依据</w:t>
      </w:r>
    </w:p>
    <w:p w14:paraId="3F8C6915">
      <w:pPr>
        <w:snapToGrid w:val="0"/>
        <w:spacing w:line="580" w:lineRule="exact"/>
        <w:ind w:firstLine="640" w:firstLineChars="200"/>
        <w:rPr>
          <w:rFonts w:hint="eastAsia" w:ascii="仿宋_GB2312" w:hAnsi="宋体" w:eastAsia="仿宋_GB2312"/>
          <w:kern w:val="0"/>
          <w:sz w:val="32"/>
          <w:szCs w:val="32"/>
        </w:rPr>
      </w:pPr>
      <w:r>
        <w:rPr>
          <w:rFonts w:hint="eastAsia" w:ascii="仿宋_GB2312" w:hAnsi="宋体" w:eastAsia="仿宋_GB2312" w:cs="仿宋_GB2312"/>
          <w:kern w:val="0"/>
          <w:sz w:val="32"/>
          <w:szCs w:val="32"/>
        </w:rPr>
        <w:t>各赛项规程编制要按照</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山东省教育厅等4部门关于举办第十七届山东省职业院校技能大赛的通知</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（鲁教职函〔2024〕47号）要求</w:t>
      </w:r>
      <w:r>
        <w:rPr>
          <w:rFonts w:ascii="仿宋_GB2312" w:hAnsi="宋体" w:eastAsia="仿宋_GB2312" w:cs="仿宋_GB2312"/>
          <w:kern w:val="0"/>
          <w:sz w:val="32"/>
          <w:szCs w:val="32"/>
        </w:rPr>
        <w:t>，</w:t>
      </w:r>
      <w:r>
        <w:rPr>
          <w:rFonts w:hint="eastAsia" w:ascii="仿宋_GB2312" w:hAnsi="宋体" w:eastAsia="仿宋_GB2312" w:cs="仿宋_GB2312"/>
          <w:kern w:val="0"/>
          <w:sz w:val="32"/>
          <w:szCs w:val="32"/>
        </w:rPr>
        <w:t>遵循全省职业院校技能大赛制度,以往年</w:t>
      </w:r>
      <w:r>
        <w:rPr>
          <w:rFonts w:ascii="仿宋_GB2312" w:hAnsi="宋体" w:eastAsia="仿宋_GB2312" w:cs="仿宋_GB2312"/>
          <w:kern w:val="0"/>
          <w:sz w:val="32"/>
          <w:szCs w:val="32"/>
        </w:rPr>
        <w:t>国赛、省赛赛项规程</w:t>
      </w:r>
      <w:r>
        <w:rPr>
          <w:rFonts w:hint="eastAsia" w:ascii="楷体" w:hAnsi="楷体" w:eastAsia="楷体" w:cs="仿宋_GB2312"/>
          <w:kern w:val="0"/>
          <w:sz w:val="32"/>
          <w:szCs w:val="32"/>
        </w:rPr>
        <w:t>（对应详细情况将在QQ工作群发布）</w:t>
      </w:r>
      <w:r>
        <w:rPr>
          <w:rFonts w:ascii="仿宋_GB2312" w:hAnsi="宋体" w:eastAsia="仿宋_GB2312" w:cs="仿宋_GB2312"/>
          <w:kern w:val="0"/>
          <w:sz w:val="32"/>
          <w:szCs w:val="32"/>
        </w:rPr>
        <w:t>为基本依据，</w:t>
      </w:r>
      <w:r>
        <w:rPr>
          <w:rFonts w:hint="eastAsia" w:ascii="仿宋_GB2312" w:hAnsi="宋体" w:eastAsia="仿宋_GB2312" w:cs="仿宋_GB2312"/>
          <w:kern w:val="0"/>
          <w:sz w:val="32"/>
          <w:szCs w:val="32"/>
        </w:rPr>
        <w:t>吸纳各方面专家意见，进一步细化和完善。</w:t>
      </w:r>
    </w:p>
    <w:p w14:paraId="08A8334F">
      <w:pPr>
        <w:snapToGrid w:val="0"/>
        <w:spacing w:line="580" w:lineRule="exact"/>
        <w:ind w:firstLine="640" w:firstLineChars="200"/>
        <w:rPr>
          <w:rFonts w:hint="eastAsia" w:ascii="黑体" w:hAnsi="黑体" w:eastAsia="黑体" w:cs="黑体"/>
          <w:bCs/>
          <w:kern w:val="0"/>
          <w:sz w:val="32"/>
          <w:szCs w:val="32"/>
        </w:rPr>
      </w:pPr>
      <w:r>
        <w:rPr>
          <w:rFonts w:hint="eastAsia" w:ascii="黑体" w:hAnsi="黑体" w:eastAsia="黑体" w:cs="黑体"/>
          <w:bCs/>
          <w:kern w:val="0"/>
          <w:sz w:val="32"/>
          <w:szCs w:val="32"/>
        </w:rPr>
        <w:t>二、赛项规程编制的基本原则</w:t>
      </w:r>
    </w:p>
    <w:p w14:paraId="37C507A9">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赛项规程编制应遵循公开、公平和公正的原则，竞赛设计科学合理，内容阐述清晰详实。</w:t>
      </w:r>
    </w:p>
    <w:p w14:paraId="1CC3AD72">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公开：赛项规程中能公开的内容应全部公开，如竞赛内容与时间、竞赛方式、竞赛规则、竞赛环境、技术规范、技术平台、赛卷或赛题库、评分标准和方法等，让参赛队和参赛选手提前了解赛项。</w:t>
      </w:r>
    </w:p>
    <w:p w14:paraId="19E1BA18">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公平：赛项规程应充分体现公平，让各参赛队和参赛选手在同一平台、同等条件下公平竞赛。</w:t>
      </w:r>
    </w:p>
    <w:p w14:paraId="03ACEFBB">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公正：在成绩评定与公布、裁判聘用与执裁、工作人员须知等方面，赛项规程应全面贯彻公正原则。</w:t>
      </w:r>
    </w:p>
    <w:p w14:paraId="1C759793">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赛项规程是赛项组织实施的依据。赛项规程发布后，因特殊情况需要变更，须经大赛执委会办公室批准。</w:t>
      </w:r>
    </w:p>
    <w:p w14:paraId="6644B68B">
      <w:pPr>
        <w:snapToGrid w:val="0"/>
        <w:spacing w:line="580" w:lineRule="exact"/>
        <w:rPr>
          <w:rFonts w:ascii="仿宋_GB2312" w:eastAsia="仿宋_GB2312"/>
          <w:sz w:val="32"/>
          <w:szCs w:val="32"/>
        </w:rPr>
      </w:pPr>
    </w:p>
    <w:p w14:paraId="751BF205">
      <w:pPr>
        <w:spacing w:line="600" w:lineRule="exact"/>
        <w:jc w:val="center"/>
        <w:rPr>
          <w:rFonts w:ascii="方正小标宋简体" w:eastAsia="方正小标宋简体"/>
          <w:sz w:val="44"/>
          <w:szCs w:val="44"/>
        </w:rPr>
      </w:pPr>
      <w:r>
        <w:rPr>
          <w:rFonts w:hint="eastAsia" w:ascii="方正小标宋简体" w:eastAsia="方正小标宋简体" w:cs="方正小标宋简体"/>
          <w:sz w:val="44"/>
          <w:szCs w:val="44"/>
        </w:rPr>
        <w:t>第十七届山东省职业院校技能大赛</w:t>
      </w:r>
    </w:p>
    <w:p w14:paraId="4C20AFDD">
      <w:pPr>
        <w:snapToGrid w:val="0"/>
        <w:spacing w:line="600" w:lineRule="exact"/>
        <w:jc w:val="center"/>
        <w:rPr>
          <w:rFonts w:ascii="方正小标宋简体" w:eastAsia="方正小标宋简体"/>
          <w:sz w:val="44"/>
          <w:szCs w:val="44"/>
        </w:rPr>
      </w:pPr>
      <w:r>
        <w:rPr>
          <w:rFonts w:hint="eastAsia" w:ascii="方正小标宋简体" w:eastAsia="方正小标宋简体" w:cs="方正小标宋简体"/>
          <w:sz w:val="44"/>
          <w:szCs w:val="44"/>
        </w:rPr>
        <w:t>×职组“×××”赛项规程</w:t>
      </w:r>
      <w:r>
        <w:rPr>
          <w:rFonts w:hint="eastAsia" w:ascii="方正小标宋简体" w:eastAsia="方正小标宋简体" w:cs="宋体"/>
          <w:sz w:val="44"/>
          <w:szCs w:val="44"/>
        </w:rPr>
        <w:t>（模板）</w:t>
      </w:r>
    </w:p>
    <w:p w14:paraId="1D07897A">
      <w:pPr>
        <w:snapToGrid w:val="0"/>
        <w:spacing w:line="580" w:lineRule="exact"/>
        <w:jc w:val="center"/>
        <w:rPr>
          <w:rFonts w:ascii="仿宋_GB2312" w:eastAsia="仿宋_GB2312"/>
          <w:sz w:val="32"/>
          <w:szCs w:val="32"/>
        </w:rPr>
      </w:pPr>
    </w:p>
    <w:p w14:paraId="4531DF24">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一、赛项名称</w:t>
      </w:r>
    </w:p>
    <w:p w14:paraId="254A4F68">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阐明赛项竞赛内容的专用名称。本条款中应具有赛项名称、赛项组别等。</w:t>
      </w:r>
    </w:p>
    <w:p w14:paraId="2ED50EC4">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二、竞赛目的</w:t>
      </w:r>
    </w:p>
    <w:p w14:paraId="3EA441B5">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围绕引领职业院校专业建设与课程改革，促进产教融合、校企合作、产业发展，展示职教改革成果及师生良好精神面貌等方面阐明赛项设计的目的和意义。</w:t>
      </w:r>
    </w:p>
    <w:p w14:paraId="3E7981B0">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三、竞赛内容</w:t>
      </w:r>
    </w:p>
    <w:p w14:paraId="56711AF9">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详细描述赛项涵盖的知识、技能，明确创新、创意的范围与方向。本条款中应对比赛时长、竞赛内容的组成与成绩比例作明确的规定。选择竞赛内容及确定成绩比例时，应体现选手职业精神，把握好竞赛成绩的区分度。</w:t>
      </w:r>
    </w:p>
    <w:p w14:paraId="4C249AB9">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四、竞赛方式</w:t>
      </w:r>
    </w:p>
    <w:p w14:paraId="33508400">
      <w:pPr>
        <w:snapToGrid w:val="0"/>
        <w:spacing w:line="580" w:lineRule="exact"/>
        <w:ind w:firstLine="604" w:firstLineChars="189"/>
        <w:rPr>
          <w:rFonts w:hint="eastAsia" w:ascii="仿宋_GB2312" w:hAnsi="宋体" w:eastAsia="仿宋_GB2312" w:cs="仿宋_GB2312"/>
          <w:kern w:val="0"/>
          <w:sz w:val="32"/>
          <w:szCs w:val="32"/>
          <w:highlight w:val="yellow"/>
        </w:rPr>
      </w:pPr>
      <w:r>
        <w:rPr>
          <w:rFonts w:hint="eastAsia" w:ascii="仿宋_GB2312" w:eastAsia="仿宋_GB2312"/>
          <w:sz w:val="32"/>
          <w:szCs w:val="32"/>
        </w:rPr>
        <w:t>详细描述竞赛方式和组队方式，明确是个人赛还是团体赛，团体赛需说明选手数量、组成人员要求，竞赛如何组织实施等（按照《山东省教育厅等4部门关于举办第十七届山东省职业院校技能大赛的通知》规定）</w:t>
      </w:r>
      <w:r>
        <w:rPr>
          <w:rFonts w:hint="eastAsia" w:ascii="仿宋_GB2312" w:hAnsi="宋体" w:eastAsia="仿宋_GB2312" w:cs="仿宋_GB2312"/>
          <w:kern w:val="0"/>
          <w:sz w:val="32"/>
          <w:szCs w:val="32"/>
        </w:rPr>
        <w:t>。</w:t>
      </w:r>
    </w:p>
    <w:p w14:paraId="32E4B0D8">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五、竞赛流程</w:t>
      </w:r>
    </w:p>
    <w:p w14:paraId="0A6114D4">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应用表格和流程图说明竞赛日程、比赛场次的安排及参赛选手的竞技过程。</w:t>
      </w:r>
    </w:p>
    <w:p w14:paraId="4968D1FF">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六、竞赛命题</w:t>
      </w:r>
    </w:p>
    <w:p w14:paraId="554CFA54">
      <w:pPr>
        <w:snapToGrid w:val="0"/>
        <w:spacing w:line="580" w:lineRule="exact"/>
        <w:ind w:firstLine="604" w:firstLineChars="189"/>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说明赛项是公开试题还是建立试题库。如果是公开试题，应在规程中明确说明试题于竞赛前什么时间发布在“山东省职业院校技能大赛网：http://sdskills.sdei.edu.cn/”；如果是建立试题库，应在规程中明确说明试题库建立的数量和发布时间、网址（同上）。</w:t>
      </w:r>
    </w:p>
    <w:p w14:paraId="052C486E">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七、竞赛规则</w:t>
      </w:r>
    </w:p>
    <w:p w14:paraId="0EE34442">
      <w:pPr>
        <w:snapToGrid w:val="0"/>
        <w:spacing w:line="580" w:lineRule="exact"/>
        <w:ind w:firstLine="604" w:firstLineChars="189"/>
        <w:rPr>
          <w:rFonts w:ascii="仿宋_GB2312" w:eastAsia="仿宋_GB2312"/>
          <w:sz w:val="32"/>
          <w:szCs w:val="32"/>
        </w:rPr>
      </w:pPr>
      <w:r>
        <w:rPr>
          <w:rFonts w:hint="eastAsia" w:ascii="仿宋_GB2312" w:hAnsi="宋体" w:eastAsia="仿宋_GB2312" w:cs="仿宋_GB2312"/>
          <w:kern w:val="0"/>
          <w:sz w:val="32"/>
          <w:szCs w:val="32"/>
        </w:rPr>
        <w:t>说明竞赛中相关组织管理人员、选手、裁判、工作人员等需共同遵守的具体规定，包括参赛选手报名资格（按照《山东省教育厅等4部门关于举办第十七届山东省职业院校技能大赛的通知》规定）、报名要求、熟悉场地、正式比赛、成绩评定与结果公布等。竞赛规则须遵循大赛执委会公布的制度</w:t>
      </w:r>
      <w:r>
        <w:rPr>
          <w:rFonts w:hint="eastAsia" w:ascii="仿宋_GB2312" w:eastAsia="仿宋_GB2312"/>
          <w:sz w:val="32"/>
          <w:szCs w:val="32"/>
        </w:rPr>
        <w:t>。</w:t>
      </w:r>
    </w:p>
    <w:p w14:paraId="3FBE5678">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八、竞赛环境</w:t>
      </w:r>
    </w:p>
    <w:p w14:paraId="0407FFCE">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详细说明</w:t>
      </w:r>
      <w:r>
        <w:rPr>
          <w:rFonts w:hint="eastAsia" w:ascii="仿宋_GB2312" w:hAnsi="宋体" w:eastAsia="仿宋_GB2312" w:cs="仿宋_GB2312"/>
          <w:kern w:val="0"/>
          <w:sz w:val="32"/>
          <w:szCs w:val="32"/>
        </w:rPr>
        <w:t>竞赛安排的场地环境，包括理论环境和技能环境</w:t>
      </w:r>
      <w:r>
        <w:rPr>
          <w:rFonts w:hint="eastAsia" w:ascii="仿宋_GB2312" w:eastAsia="仿宋_GB2312"/>
          <w:sz w:val="32"/>
          <w:szCs w:val="32"/>
        </w:rPr>
        <w:t>（不含竞赛的技术规范和技术平台）。</w:t>
      </w:r>
    </w:p>
    <w:p w14:paraId="41ED3CE1">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九、技术规范</w:t>
      </w:r>
    </w:p>
    <w:p w14:paraId="454562AC">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指本赛项所属产业或覆盖行业中已经颁布实施、在有效期内的标准与规范。引用的国际、国家、行业技术、职业资格标准与规范应书写完整的名称及代码；业内公认的设备使用与操作规范、操控人员应具备的基础技术、知识与技能、生产工艺等要求应作详细描述。</w:t>
      </w:r>
    </w:p>
    <w:p w14:paraId="11E73FA5">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十、技术平台</w:t>
      </w:r>
    </w:p>
    <w:p w14:paraId="6F816AA4">
      <w:pPr>
        <w:snapToGrid w:val="0"/>
        <w:spacing w:line="580" w:lineRule="exact"/>
        <w:ind w:firstLine="604" w:firstLineChars="189"/>
        <w:rPr>
          <w:rFonts w:ascii="仿宋_GB2312" w:eastAsia="仿宋_GB2312"/>
          <w:sz w:val="32"/>
          <w:szCs w:val="32"/>
        </w:rPr>
      </w:pPr>
      <w:r>
        <w:rPr>
          <w:rFonts w:hint="eastAsia" w:ascii="仿宋_GB2312" w:hAnsi="宋体" w:eastAsia="仿宋_GB2312" w:cs="仿宋_GB2312"/>
          <w:kern w:val="0"/>
          <w:sz w:val="32"/>
          <w:szCs w:val="32"/>
        </w:rPr>
        <w:t>公开赛项竞赛需要技术平台的全部信息，包括合作</w:t>
      </w:r>
      <w:r>
        <w:rPr>
          <w:rFonts w:ascii="仿宋_GB2312" w:hAnsi="宋体" w:eastAsia="仿宋_GB2312" w:cs="仿宋_GB2312"/>
          <w:kern w:val="0"/>
          <w:sz w:val="32"/>
          <w:szCs w:val="32"/>
        </w:rPr>
        <w:t>企业</w:t>
      </w:r>
      <w:r>
        <w:rPr>
          <w:rFonts w:hint="eastAsia" w:ascii="仿宋_GB2312" w:hAnsi="宋体" w:eastAsia="仿宋_GB2312" w:cs="仿宋_GB2312"/>
          <w:kern w:val="0"/>
          <w:sz w:val="32"/>
          <w:szCs w:val="32"/>
        </w:rPr>
        <w:t>、</w:t>
      </w:r>
      <w:r>
        <w:rPr>
          <w:rFonts w:ascii="仿宋_GB2312" w:hAnsi="宋体" w:eastAsia="仿宋_GB2312" w:cs="仿宋_GB2312"/>
          <w:kern w:val="0"/>
          <w:sz w:val="32"/>
          <w:szCs w:val="32"/>
        </w:rPr>
        <w:t>技术支持企业名称以及所提供的</w:t>
      </w:r>
      <w:r>
        <w:rPr>
          <w:rFonts w:hint="eastAsia" w:ascii="仿宋_GB2312" w:hAnsi="宋体" w:eastAsia="仿宋_GB2312" w:cs="仿宋_GB2312"/>
          <w:kern w:val="0"/>
          <w:sz w:val="32"/>
          <w:szCs w:val="32"/>
        </w:rPr>
        <w:t>硬件和软件信息、机器设备信息、工装器具信息等。</w:t>
      </w:r>
      <w:r>
        <w:rPr>
          <w:rFonts w:hint="eastAsia" w:ascii="仿宋_GB2312" w:eastAsia="仿宋_GB2312"/>
          <w:sz w:val="32"/>
          <w:szCs w:val="32"/>
        </w:rPr>
        <w:t>赛项所用技术平台应详实描述设备的技术参数、工装器具的技术规格、软件</w:t>
      </w:r>
      <w:r>
        <w:rPr>
          <w:rFonts w:hint="eastAsia" w:ascii="仿宋_GB2312" w:eastAsia="仿宋_GB2312"/>
          <w:color w:val="000000" w:themeColor="text1"/>
          <w:sz w:val="32"/>
          <w:szCs w:val="32"/>
        </w:rPr>
        <w:t>版本号等信息。原则上，</w:t>
      </w:r>
      <w:r>
        <w:rPr>
          <w:rFonts w:hint="eastAsia" w:ascii="仿宋_GB2312" w:hAnsi="宋体" w:eastAsia="仿宋_GB2312" w:cs="仿宋_GB2312"/>
          <w:color w:val="000000" w:themeColor="text1"/>
          <w:kern w:val="0"/>
          <w:sz w:val="32"/>
          <w:szCs w:val="32"/>
        </w:rPr>
        <w:t>国赛赛项</w:t>
      </w:r>
      <w:r>
        <w:rPr>
          <w:rFonts w:hint="eastAsia" w:ascii="仿宋_GB2312" w:eastAsia="仿宋_GB2312"/>
          <w:color w:val="000000" w:themeColor="text1"/>
          <w:sz w:val="32"/>
          <w:szCs w:val="32"/>
        </w:rPr>
        <w:t>采用国赛技术平台，省赛</w:t>
      </w:r>
      <w:r>
        <w:rPr>
          <w:rFonts w:ascii="仿宋_GB2312" w:eastAsia="仿宋_GB2312"/>
          <w:color w:val="000000" w:themeColor="text1"/>
          <w:sz w:val="32"/>
          <w:szCs w:val="32"/>
        </w:rPr>
        <w:t>赛项采用省赛技术平台</w:t>
      </w:r>
      <w:r>
        <w:rPr>
          <w:rFonts w:hint="eastAsia" w:ascii="楷体" w:hAnsi="楷体" w:eastAsia="楷体"/>
          <w:color w:val="000000" w:themeColor="text1"/>
          <w:sz w:val="32"/>
          <w:szCs w:val="32"/>
        </w:rPr>
        <w:t>（合作企业、技术支持企业名单将在QQ工作群发布）</w:t>
      </w:r>
      <w:r>
        <w:rPr>
          <w:rFonts w:ascii="仿宋_GB2312" w:eastAsia="仿宋_GB2312"/>
          <w:color w:val="000000" w:themeColor="text1"/>
          <w:sz w:val="32"/>
          <w:szCs w:val="32"/>
        </w:rPr>
        <w:t>，</w:t>
      </w:r>
      <w:r>
        <w:rPr>
          <w:rFonts w:hint="eastAsia" w:ascii="仿宋_GB2312" w:eastAsia="仿宋_GB2312"/>
          <w:color w:val="000000" w:themeColor="text1"/>
          <w:sz w:val="32"/>
          <w:szCs w:val="32"/>
        </w:rPr>
        <w:t>尽量不更换比赛设备和软件，同时须明确写明合作企业、技术支持</w:t>
      </w:r>
      <w:r>
        <w:rPr>
          <w:rFonts w:hint="eastAsia" w:ascii="仿宋_GB2312" w:eastAsia="仿宋_GB2312"/>
          <w:sz w:val="32"/>
          <w:szCs w:val="32"/>
        </w:rPr>
        <w:t>企业名称。确需更换</w:t>
      </w:r>
      <w:r>
        <w:rPr>
          <w:rFonts w:ascii="仿宋_GB2312" w:eastAsia="仿宋_GB2312"/>
          <w:sz w:val="32"/>
          <w:szCs w:val="32"/>
        </w:rPr>
        <w:t>的，须提供论证报告，提出更换理由</w:t>
      </w:r>
      <w:r>
        <w:rPr>
          <w:rFonts w:hint="eastAsia" w:ascii="仿宋_GB2312" w:eastAsia="仿宋_GB2312"/>
          <w:sz w:val="32"/>
          <w:szCs w:val="32"/>
        </w:rPr>
        <w:t>，</w:t>
      </w:r>
      <w:r>
        <w:rPr>
          <w:rFonts w:ascii="仿宋_GB2312" w:eastAsia="仿宋_GB2312"/>
          <w:sz w:val="32"/>
          <w:szCs w:val="32"/>
        </w:rPr>
        <w:t>报省大赛执委会办公室核准。</w:t>
      </w:r>
    </w:p>
    <w:p w14:paraId="52E4FD47">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十一、成绩评定</w:t>
      </w:r>
    </w:p>
    <w:p w14:paraId="35D5759E">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公开赛项评分标准和评分方式，赛项最终得分一般按百分制计分，</w:t>
      </w:r>
      <w:r>
        <w:rPr>
          <w:rFonts w:hint="eastAsia" w:ascii="仿宋_GB2312" w:hAnsi="宋体" w:eastAsia="仿宋_GB2312" w:cs="仿宋_GB2312"/>
          <w:kern w:val="0"/>
          <w:sz w:val="32"/>
          <w:szCs w:val="32"/>
        </w:rPr>
        <w:t>特殊赛项可采用其他计分方法。</w:t>
      </w:r>
      <w:r>
        <w:rPr>
          <w:rFonts w:hint="eastAsia" w:ascii="仿宋_GB2312" w:eastAsia="仿宋_GB2312"/>
          <w:sz w:val="32"/>
          <w:szCs w:val="32"/>
        </w:rPr>
        <w:t>成绩评定必须在公开、公平、公正、独立、透明的条件下进行。</w:t>
      </w:r>
    </w:p>
    <w:p w14:paraId="590E0CA8">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赛项评分标准须科学合理，阐述要全面详细，应包括全部比赛环节，每个环节考核哪些知识点和技能点、每个知识点和技能点成绩如何评定等。评分标准与赛项竞赛内容应完全一致。</w:t>
      </w:r>
    </w:p>
    <w:p w14:paraId="0B087635">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详细说明本赛项评分方式，包括裁判员人数</w:t>
      </w:r>
      <w:r>
        <w:rPr>
          <w:rFonts w:ascii="仿宋_GB2312" w:hAnsi="宋体" w:eastAsia="仿宋_GB2312" w:cs="仿宋_GB2312"/>
          <w:color w:val="000000"/>
          <w:kern w:val="0"/>
          <w:sz w:val="31"/>
          <w:szCs w:val="31"/>
        </w:rPr>
        <w:t>（含加密裁</w:t>
      </w:r>
      <w:r>
        <w:rPr>
          <w:rFonts w:hint="eastAsia" w:ascii="仿宋_GB2312" w:hAnsi="宋体" w:eastAsia="仿宋_GB2312" w:cs="仿宋_GB2312"/>
          <w:color w:val="000000"/>
          <w:kern w:val="0"/>
          <w:sz w:val="31"/>
          <w:szCs w:val="31"/>
        </w:rPr>
        <w:t>判）和组成要求</w:t>
      </w:r>
      <w:r>
        <w:rPr>
          <w:rFonts w:hint="eastAsia" w:ascii="仿宋_GB2312" w:eastAsia="仿宋_GB2312"/>
          <w:sz w:val="32"/>
          <w:szCs w:val="32"/>
        </w:rPr>
        <w:t>、裁判评分方法、成绩产生方法、成绩审核方法、成绩公布方法等。</w:t>
      </w:r>
    </w:p>
    <w:p w14:paraId="5EAB7551">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十二、赛场预案</w:t>
      </w:r>
    </w:p>
    <w:p w14:paraId="72C088C1">
      <w:pPr>
        <w:snapToGrid w:val="0"/>
        <w:spacing w:line="580" w:lineRule="exact"/>
        <w:ind w:firstLine="604" w:firstLineChars="189"/>
        <w:rPr>
          <w:rFonts w:ascii="仿宋_GB2312" w:eastAsia="仿宋_GB2312"/>
          <w:color w:val="000000" w:themeColor="text1"/>
          <w:sz w:val="32"/>
          <w:szCs w:val="32"/>
        </w:rPr>
      </w:pPr>
      <w:r>
        <w:rPr>
          <w:rFonts w:hint="eastAsia" w:ascii="仿宋_GB2312" w:eastAsia="仿宋_GB2312"/>
          <w:color w:val="000000" w:themeColor="text1"/>
          <w:sz w:val="32"/>
          <w:szCs w:val="32"/>
        </w:rPr>
        <w:t>按照</w:t>
      </w:r>
      <w:r>
        <w:rPr>
          <w:rFonts w:hint="eastAsia" w:ascii="仿宋_GB2312" w:hAnsi="宋体" w:eastAsia="仿宋_GB2312" w:cs="仿宋_GB2312"/>
          <w:color w:val="000000" w:themeColor="text1"/>
          <w:kern w:val="0"/>
          <w:sz w:val="32"/>
          <w:szCs w:val="32"/>
        </w:rPr>
        <w:t>《第十七届山东省职业院校技能大赛制度汇编》</w:t>
      </w:r>
      <w:r>
        <w:rPr>
          <w:rFonts w:hint="eastAsia" w:ascii="仿宋_GB2312" w:eastAsia="仿宋_GB2312"/>
          <w:color w:val="000000" w:themeColor="text1"/>
          <w:sz w:val="32"/>
          <w:szCs w:val="32"/>
        </w:rPr>
        <w:t>中相关要求，阐述在比赛过程中不可控但可能出现的紧急情况（如计算机卡顿、设备故障等）的应急预案，特别是对参赛选手成绩产生影响的具体处理措施等。</w:t>
      </w:r>
    </w:p>
    <w:p w14:paraId="5F4B3645">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十三、申诉与仲裁</w:t>
      </w:r>
    </w:p>
    <w:p w14:paraId="636DCD1B">
      <w:pPr>
        <w:snapToGrid w:val="0"/>
        <w:spacing w:line="580" w:lineRule="exact"/>
        <w:ind w:firstLine="604" w:firstLineChars="189"/>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大赛采取二级仲裁机制。各赛项设赛项仲裁工作组，大赛执委会设仲裁委员会。各参赛队对不符合大赛和赛项规程规定的仪器、设备、工装、材料、物件、计算机软硬件、竞赛使用工具、用品，竞赛执裁、赛场管理，以及工作人员的不规范行为等，可向赛项仲裁工作组提出申诉。申诉主体为参赛队领队。申诉启动时，领队向赛项仲裁工作组递交亲笔签字同意的书面申诉报告。申诉报告应对申诉事件的现象、发生时间、涉及人员、申诉依据等进行充分、实事求是地叙述。非书面申诉不予受理。</w:t>
      </w:r>
    </w:p>
    <w:p w14:paraId="06626F10">
      <w:pPr>
        <w:snapToGrid w:val="0"/>
        <w:spacing w:line="580" w:lineRule="exact"/>
        <w:ind w:firstLine="604" w:firstLineChars="189"/>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提出申诉的时间应在竞赛结束后（选手赛场竞赛内容全部完成）2小时内</w:t>
      </w:r>
      <w:r>
        <w:rPr>
          <w:rFonts w:hint="eastAsia" w:ascii="Calibri" w:hAnsi="Calibri" w:eastAsia="仿宋_GB2312" w:cs="仿宋_GB2312"/>
          <w:kern w:val="0"/>
          <w:sz w:val="32"/>
          <w:szCs w:val="32"/>
        </w:rPr>
        <w:t>，</w:t>
      </w:r>
      <w:r>
        <w:rPr>
          <w:rFonts w:hint="eastAsia" w:ascii="仿宋_GB2312" w:hAnsi="宋体" w:eastAsia="仿宋_GB2312" w:cs="仿宋_GB2312"/>
          <w:kern w:val="0"/>
          <w:sz w:val="32"/>
          <w:szCs w:val="32"/>
        </w:rPr>
        <w:t>超过时效不予受理。赛项仲裁工作组在接到申诉报告后的2小时内组织复议，并及时将复议结果以书面形式告知申诉方。申诉方对复议结果仍有异议，可由市（高职院校）领队向仲裁委员会提出申诉。仲裁委员会的仲裁结果为最终结果。申诉</w:t>
      </w:r>
      <w:r>
        <w:rPr>
          <w:rFonts w:ascii="仿宋_GB2312" w:hAnsi="宋体" w:eastAsia="仿宋_GB2312" w:cs="仿宋_GB2312"/>
          <w:kern w:val="0"/>
          <w:sz w:val="32"/>
          <w:szCs w:val="32"/>
        </w:rPr>
        <w:t>方可随时</w:t>
      </w:r>
      <w:r>
        <w:rPr>
          <w:rFonts w:hint="eastAsia" w:ascii="仿宋_GB2312" w:hAnsi="宋体" w:eastAsia="仿宋_GB2312" w:cs="仿宋_GB2312"/>
          <w:kern w:val="0"/>
          <w:sz w:val="32"/>
          <w:szCs w:val="32"/>
        </w:rPr>
        <w:t>提出</w:t>
      </w:r>
      <w:r>
        <w:rPr>
          <w:rFonts w:ascii="仿宋_GB2312" w:hAnsi="宋体" w:eastAsia="仿宋_GB2312" w:cs="仿宋_GB2312"/>
          <w:kern w:val="0"/>
          <w:sz w:val="32"/>
          <w:szCs w:val="32"/>
        </w:rPr>
        <w:t>放弃申诉。</w:t>
      </w:r>
    </w:p>
    <w:p w14:paraId="094B5BA8">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十四、竞赛观摩</w:t>
      </w:r>
    </w:p>
    <w:p w14:paraId="2B080144">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说明本赛项公开观摩的对象、时间与形式，结合本赛项的特点提出观摩时应遵守的纪律等要求。所有赛项都应合理安排现场直播方式的公开观摩。</w:t>
      </w:r>
    </w:p>
    <w:p w14:paraId="6D25613F">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十五、竞赛直播及</w:t>
      </w:r>
      <w:r>
        <w:rPr>
          <w:rFonts w:ascii="黑体" w:hAnsi="黑体" w:eastAsia="黑体"/>
          <w:sz w:val="32"/>
          <w:szCs w:val="32"/>
        </w:rPr>
        <w:t>全程录像</w:t>
      </w:r>
    </w:p>
    <w:p w14:paraId="4E109C08">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阐述本赛项除抽签加密外，对比赛全过程、全方位直播的形式和方法（所有赛项都必须安排现场直播，并安排比赛直播观摩室）。各赛项比赛现场（要覆盖每个竞赛工位）全程录像并集中封存，随时调取使用。</w:t>
      </w:r>
    </w:p>
    <w:p w14:paraId="6E3EB958">
      <w:pPr>
        <w:snapToGrid w:val="0"/>
        <w:spacing w:line="580" w:lineRule="exact"/>
        <w:ind w:firstLine="604" w:firstLineChars="189"/>
        <w:rPr>
          <w:rFonts w:hint="eastAsia" w:ascii="黑体" w:hAnsi="黑体" w:eastAsia="黑体"/>
          <w:sz w:val="32"/>
          <w:szCs w:val="32"/>
        </w:rPr>
      </w:pPr>
      <w:r>
        <w:rPr>
          <w:rFonts w:hint="eastAsia" w:ascii="黑体" w:hAnsi="黑体" w:eastAsia="黑体"/>
          <w:sz w:val="32"/>
          <w:szCs w:val="32"/>
        </w:rPr>
        <w:t>十六、竞赛须知</w:t>
      </w:r>
    </w:p>
    <w:p w14:paraId="77594805">
      <w:pPr>
        <w:snapToGrid w:val="0"/>
        <w:spacing w:line="580" w:lineRule="exact"/>
        <w:ind w:firstLine="604" w:firstLineChars="189"/>
        <w:rPr>
          <w:rFonts w:ascii="仿宋_GB2312" w:eastAsia="仿宋_GB2312"/>
          <w:sz w:val="32"/>
          <w:szCs w:val="32"/>
        </w:rPr>
      </w:pPr>
      <w:r>
        <w:rPr>
          <w:rFonts w:hint="eastAsia" w:ascii="仿宋_GB2312" w:eastAsia="仿宋_GB2312"/>
          <w:sz w:val="32"/>
          <w:szCs w:val="32"/>
        </w:rPr>
        <w:t>分别阐述本赛项参赛队、指导教师、参赛选手、工作人员等应重点注意的事项。对参赛队重点说明参赛学生是否需要购买保险，对指导教师重点说明带队和指导要求，对参赛选手重点说明比赛纪律和仪表仪容，对工作人员重点说明工作规范和纪律等。</w:t>
      </w:r>
    </w:p>
    <w:p w14:paraId="372CED1D">
      <w:pPr>
        <w:spacing w:line="580" w:lineRule="exact"/>
        <w:jc w:val="center"/>
        <w:rPr>
          <w:rFonts w:ascii="方正小标宋简体" w:eastAsia="方正小标宋简体"/>
          <w:sz w:val="32"/>
          <w:szCs w:val="32"/>
        </w:rPr>
      </w:pPr>
      <w:r>
        <w:rPr>
          <w:rFonts w:hint="eastAsia" w:ascii="方正小标宋简体" w:eastAsia="方正小标宋简体" w:cs="方正小标宋简体"/>
          <w:sz w:val="32"/>
          <w:szCs w:val="32"/>
        </w:rPr>
        <w:br w:type="page"/>
      </w:r>
      <w:r>
        <w:rPr>
          <w:rFonts w:hint="eastAsia" w:ascii="方正小标宋简体" w:eastAsia="方正小标宋简体" w:cs="方正小标宋简体"/>
          <w:sz w:val="44"/>
          <w:szCs w:val="44"/>
        </w:rPr>
        <w:t>赛项规程编写格式要求</w:t>
      </w:r>
    </w:p>
    <w:p w14:paraId="519150C5">
      <w:pPr>
        <w:spacing w:line="600" w:lineRule="exact"/>
        <w:ind w:firstLine="640" w:firstLineChars="200"/>
        <w:rPr>
          <w:rFonts w:hint="eastAsia" w:ascii="黑体" w:hAnsi="黑体" w:eastAsia="黑体" w:cs="黑体"/>
          <w:sz w:val="32"/>
          <w:szCs w:val="32"/>
        </w:rPr>
      </w:pPr>
    </w:p>
    <w:p w14:paraId="4ED46A3C">
      <w:pPr>
        <w:spacing w:line="600" w:lineRule="exact"/>
        <w:ind w:firstLine="640" w:firstLineChars="200"/>
        <w:rPr>
          <w:rFonts w:hint="eastAsia" w:ascii="黑体" w:hAnsi="黑体" w:eastAsia="黑体"/>
          <w:sz w:val="32"/>
          <w:szCs w:val="32"/>
        </w:rPr>
      </w:pPr>
      <w:r>
        <w:rPr>
          <w:rFonts w:hint="eastAsia" w:ascii="黑体" w:hAnsi="黑体" w:eastAsia="黑体" w:cs="黑体"/>
          <w:sz w:val="32"/>
          <w:szCs w:val="32"/>
        </w:rPr>
        <w:t>一、页面设置</w:t>
      </w:r>
    </w:p>
    <w:p w14:paraId="45FC6360">
      <w:pPr>
        <w:spacing w:line="600" w:lineRule="exact"/>
        <w:ind w:firstLine="640" w:firstLineChars="200"/>
        <w:rPr>
          <w:rFonts w:ascii="仿宋_GB2312" w:eastAsia="仿宋_GB2312"/>
          <w:sz w:val="32"/>
          <w:szCs w:val="32"/>
        </w:rPr>
      </w:pPr>
      <w:r>
        <w:rPr>
          <w:rFonts w:hint="eastAsia" w:ascii="仿宋_GB2312" w:eastAsia="仿宋_GB2312" w:cs="仿宋_GB2312"/>
          <w:sz w:val="32"/>
          <w:szCs w:val="32"/>
        </w:rPr>
        <w:t>页边距：上</w:t>
      </w:r>
      <w:r>
        <w:rPr>
          <w:rFonts w:ascii="仿宋_GB2312" w:eastAsia="仿宋_GB2312" w:cs="仿宋_GB2312"/>
          <w:sz w:val="32"/>
          <w:szCs w:val="32"/>
        </w:rPr>
        <w:t>3.6</w:t>
      </w:r>
      <w:r>
        <w:t xml:space="preserve"> </w:t>
      </w:r>
      <w:r>
        <w:rPr>
          <w:rFonts w:ascii="仿宋_GB2312" w:eastAsia="仿宋_GB2312" w:cs="仿宋_GB2312"/>
          <w:sz w:val="32"/>
          <w:szCs w:val="32"/>
        </w:rPr>
        <w:t>cm</w:t>
      </w:r>
      <w:r>
        <w:rPr>
          <w:rFonts w:hint="eastAsia" w:ascii="仿宋_GB2312" w:eastAsia="仿宋_GB2312" w:cs="仿宋_GB2312"/>
          <w:sz w:val="32"/>
          <w:szCs w:val="32"/>
        </w:rPr>
        <w:t>、下</w:t>
      </w:r>
      <w:r>
        <w:rPr>
          <w:rFonts w:ascii="仿宋_GB2312" w:eastAsia="仿宋_GB2312" w:cs="仿宋_GB2312"/>
          <w:sz w:val="32"/>
          <w:szCs w:val="32"/>
        </w:rPr>
        <w:t>3.5</w:t>
      </w:r>
      <w:r>
        <w:t xml:space="preserve"> </w:t>
      </w:r>
      <w:r>
        <w:rPr>
          <w:rFonts w:ascii="仿宋_GB2312" w:eastAsia="仿宋_GB2312" w:cs="仿宋_GB2312"/>
          <w:sz w:val="32"/>
          <w:szCs w:val="32"/>
        </w:rPr>
        <w:t>cm</w:t>
      </w:r>
      <w:r>
        <w:rPr>
          <w:rFonts w:hint="eastAsia" w:ascii="仿宋_GB2312" w:eastAsia="仿宋_GB2312" w:cs="仿宋_GB2312"/>
          <w:sz w:val="32"/>
          <w:szCs w:val="32"/>
        </w:rPr>
        <w:t>、左</w:t>
      </w:r>
      <w:r>
        <w:rPr>
          <w:rFonts w:ascii="仿宋_GB2312" w:eastAsia="仿宋_GB2312" w:cs="仿宋_GB2312"/>
          <w:sz w:val="32"/>
          <w:szCs w:val="32"/>
        </w:rPr>
        <w:t>2.5</w:t>
      </w:r>
      <w:bookmarkStart w:id="1" w:name="_Hlk180958077"/>
      <w:r>
        <w:rPr>
          <w:rFonts w:ascii="仿宋_GB2312" w:eastAsia="仿宋_GB2312" w:cs="仿宋_GB2312"/>
          <w:sz w:val="32"/>
          <w:szCs w:val="32"/>
        </w:rPr>
        <w:t>cm</w:t>
      </w:r>
      <w:bookmarkEnd w:id="1"/>
      <w:r>
        <w:rPr>
          <w:rFonts w:hint="eastAsia" w:ascii="仿宋_GB2312" w:eastAsia="仿宋_GB2312" w:cs="仿宋_GB2312"/>
          <w:sz w:val="32"/>
          <w:szCs w:val="32"/>
        </w:rPr>
        <w:t>、右</w:t>
      </w:r>
      <w:r>
        <w:rPr>
          <w:rFonts w:ascii="仿宋_GB2312" w:eastAsia="仿宋_GB2312" w:cs="仿宋_GB2312"/>
          <w:sz w:val="32"/>
          <w:szCs w:val="32"/>
        </w:rPr>
        <w:t>2.5cm</w:t>
      </w:r>
      <w:r>
        <w:rPr>
          <w:rFonts w:hint="eastAsia" w:ascii="仿宋_GB2312" w:eastAsia="仿宋_GB2312" w:cs="仿宋_GB2312"/>
          <w:sz w:val="32"/>
          <w:szCs w:val="32"/>
        </w:rPr>
        <w:t>。装订线</w:t>
      </w:r>
      <w:r>
        <w:rPr>
          <w:rFonts w:ascii="仿宋_GB2312" w:eastAsia="仿宋_GB2312" w:cs="仿宋_GB2312"/>
          <w:sz w:val="32"/>
          <w:szCs w:val="32"/>
        </w:rPr>
        <w:t>0cm</w:t>
      </w:r>
      <w:r>
        <w:rPr>
          <w:rFonts w:hint="eastAsia" w:ascii="仿宋_GB2312" w:eastAsia="仿宋_GB2312" w:cs="仿宋_GB2312"/>
          <w:sz w:val="32"/>
          <w:szCs w:val="32"/>
        </w:rPr>
        <w:t>，装订线位置：左。不加页眉，页脚处页码半角字符居中。</w:t>
      </w:r>
    </w:p>
    <w:p w14:paraId="7E7D4312">
      <w:pPr>
        <w:spacing w:line="600" w:lineRule="exact"/>
        <w:ind w:firstLine="640" w:firstLineChars="200"/>
        <w:rPr>
          <w:rFonts w:hint="eastAsia" w:ascii="黑体" w:hAnsi="黑体" w:eastAsia="黑体"/>
          <w:sz w:val="32"/>
          <w:szCs w:val="32"/>
        </w:rPr>
      </w:pPr>
      <w:r>
        <w:rPr>
          <w:rFonts w:hint="eastAsia" w:ascii="黑体" w:hAnsi="黑体" w:eastAsia="黑体" w:cs="黑体"/>
          <w:sz w:val="32"/>
          <w:szCs w:val="32"/>
        </w:rPr>
        <w:t>二、标题格式</w:t>
      </w:r>
    </w:p>
    <w:p w14:paraId="26830AA4">
      <w:pPr>
        <w:spacing w:line="600" w:lineRule="exact"/>
        <w:ind w:firstLine="645"/>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.一级标题：黑体小四号。</w:t>
      </w:r>
    </w:p>
    <w:p w14:paraId="0C3C0E39">
      <w:pPr>
        <w:spacing w:line="600" w:lineRule="exact"/>
        <w:ind w:firstLine="645"/>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.二级标题：仿宋</w:t>
      </w:r>
      <w:r>
        <w:rPr>
          <w:rFonts w:ascii="仿宋_GB2312" w:eastAsia="仿宋_GB2312" w:cs="仿宋_GB2312"/>
          <w:sz w:val="32"/>
          <w:szCs w:val="32"/>
        </w:rPr>
        <w:t>GB2312</w:t>
      </w:r>
      <w:r>
        <w:rPr>
          <w:rFonts w:hint="eastAsia" w:ascii="仿宋_GB2312" w:eastAsia="仿宋_GB2312" w:cs="仿宋_GB2312"/>
          <w:sz w:val="32"/>
          <w:szCs w:val="32"/>
        </w:rPr>
        <w:t>小四号，加粗。</w:t>
      </w:r>
    </w:p>
    <w:p w14:paraId="76FA4F9C">
      <w:pPr>
        <w:spacing w:line="600" w:lineRule="exact"/>
        <w:ind w:firstLine="645"/>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.三级标题：仿宋</w:t>
      </w:r>
      <w:r>
        <w:rPr>
          <w:rFonts w:ascii="仿宋_GB2312" w:eastAsia="仿宋_GB2312" w:cs="仿宋_GB2312"/>
          <w:sz w:val="32"/>
          <w:szCs w:val="32"/>
        </w:rPr>
        <w:t>GB2312</w:t>
      </w:r>
      <w:r>
        <w:rPr>
          <w:rFonts w:hint="eastAsia" w:ascii="仿宋_GB2312" w:eastAsia="仿宋_GB2312" w:cs="仿宋_GB2312"/>
          <w:sz w:val="32"/>
          <w:szCs w:val="32"/>
        </w:rPr>
        <w:t>小四号。</w:t>
      </w:r>
    </w:p>
    <w:p w14:paraId="7BCD08A2">
      <w:pPr>
        <w:spacing w:line="600" w:lineRule="exact"/>
        <w:ind w:firstLine="640" w:firstLineChars="200"/>
        <w:rPr>
          <w:rFonts w:hint="eastAsia" w:ascii="黑体" w:hAnsi="黑体" w:eastAsia="黑体"/>
          <w:sz w:val="32"/>
          <w:szCs w:val="32"/>
        </w:rPr>
      </w:pPr>
      <w:r>
        <w:rPr>
          <w:rFonts w:hint="eastAsia" w:ascii="黑体" w:hAnsi="黑体" w:eastAsia="黑体" w:cs="黑体"/>
          <w:sz w:val="32"/>
          <w:szCs w:val="32"/>
        </w:rPr>
        <w:t>三、正文格式</w:t>
      </w:r>
    </w:p>
    <w:p w14:paraId="03D11D86">
      <w:pPr>
        <w:spacing w:line="600" w:lineRule="exact"/>
        <w:ind w:firstLine="645"/>
        <w:rPr>
          <w:rFonts w:ascii="仿宋_GB2312" w:eastAsia="仿宋_GB2312"/>
          <w:sz w:val="32"/>
          <w:szCs w:val="32"/>
        </w:rPr>
      </w:pPr>
      <w:r>
        <w:rPr>
          <w:rFonts w:hint="eastAsia" w:ascii="仿宋_GB2312" w:eastAsia="仿宋_GB2312" w:cs="仿宋_GB2312"/>
          <w:sz w:val="32"/>
          <w:szCs w:val="32"/>
        </w:rPr>
        <w:t>仿宋</w:t>
      </w:r>
      <w:r>
        <w:rPr>
          <w:rFonts w:ascii="仿宋_GB2312" w:eastAsia="仿宋_GB2312" w:cs="仿宋_GB2312"/>
          <w:sz w:val="32"/>
          <w:szCs w:val="32"/>
        </w:rPr>
        <w:t>GB2312</w:t>
      </w:r>
      <w:r>
        <w:rPr>
          <w:rFonts w:hint="eastAsia" w:ascii="仿宋_GB2312" w:eastAsia="仿宋_GB2312" w:cs="仿宋_GB2312"/>
          <w:sz w:val="32"/>
          <w:szCs w:val="32"/>
        </w:rPr>
        <w:t>小四号，</w:t>
      </w:r>
      <w:r>
        <w:rPr>
          <w:rFonts w:ascii="仿宋_GB2312" w:eastAsia="仿宋_GB2312" w:cs="仿宋_GB2312"/>
          <w:sz w:val="32"/>
          <w:szCs w:val="32"/>
        </w:rPr>
        <w:t>1.5</w:t>
      </w:r>
      <w:r>
        <w:rPr>
          <w:rFonts w:hint="eastAsia" w:ascii="仿宋_GB2312" w:eastAsia="仿宋_GB2312" w:cs="仿宋_GB2312"/>
          <w:sz w:val="32"/>
          <w:szCs w:val="32"/>
        </w:rPr>
        <w:t>倍行间距，段落首行缩进</w:t>
      </w:r>
      <w:r>
        <w:rPr>
          <w:rFonts w:ascii="仿宋_GB2312" w:eastAsia="仿宋_GB2312" w:cs="仿宋_GB2312"/>
          <w:sz w:val="32"/>
          <w:szCs w:val="32"/>
        </w:rPr>
        <w:t>4</w:t>
      </w:r>
      <w:r>
        <w:rPr>
          <w:rFonts w:hint="eastAsia" w:ascii="仿宋_GB2312" w:eastAsia="仿宋_GB2312" w:cs="仿宋_GB2312"/>
          <w:sz w:val="32"/>
          <w:szCs w:val="32"/>
        </w:rPr>
        <w:t>个半角字符。标点符号使用中文半角字符。</w:t>
      </w:r>
    </w:p>
    <w:p w14:paraId="08665C19">
      <w:pPr>
        <w:spacing w:line="600" w:lineRule="exact"/>
        <w:ind w:firstLine="645"/>
        <w:rPr>
          <w:rFonts w:ascii="仿宋_GB2312" w:eastAsia="仿宋_GB2312"/>
          <w:sz w:val="32"/>
          <w:szCs w:val="32"/>
        </w:rPr>
      </w:pPr>
      <w:r>
        <w:rPr>
          <w:rFonts w:hint="eastAsia" w:ascii="仿宋_GB2312" w:eastAsia="仿宋_GB2312" w:cs="仿宋_GB2312"/>
          <w:sz w:val="32"/>
          <w:szCs w:val="32"/>
        </w:rPr>
        <w:t>如有表格编排，可根据内容适当调整文本格式，表格标题行加粗，确保整体美观。</w:t>
      </w:r>
    </w:p>
    <w:p w14:paraId="59E7EA52">
      <w:pPr>
        <w:spacing w:line="600" w:lineRule="exact"/>
        <w:ind w:firstLine="640" w:firstLineChars="200"/>
        <w:rPr>
          <w:rFonts w:hint="eastAsia" w:ascii="黑体" w:hAnsi="黑体" w:eastAsia="黑体"/>
          <w:sz w:val="32"/>
          <w:szCs w:val="32"/>
        </w:rPr>
      </w:pPr>
      <w:r>
        <w:rPr>
          <w:rFonts w:hint="eastAsia" w:ascii="黑体" w:hAnsi="黑体" w:eastAsia="黑体" w:cs="黑体"/>
          <w:sz w:val="32"/>
          <w:szCs w:val="32"/>
        </w:rPr>
        <w:t>四、序号格式</w:t>
      </w:r>
    </w:p>
    <w:p w14:paraId="31153151">
      <w:pPr>
        <w:spacing w:line="600" w:lineRule="exact"/>
        <w:ind w:firstLine="645"/>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.一级序号：使用大写数字：一、二、……</w:t>
      </w:r>
    </w:p>
    <w:p w14:paraId="1511CEFD">
      <w:pPr>
        <w:spacing w:line="600" w:lineRule="exact"/>
        <w:ind w:firstLine="645"/>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.二级序号：使用括号大写数字：（一）（二）……</w:t>
      </w:r>
    </w:p>
    <w:p w14:paraId="673E7C3A">
      <w:pPr>
        <w:spacing w:line="600" w:lineRule="exact"/>
        <w:ind w:firstLine="645"/>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.三级序号：使用阿拉伯数字：</w:t>
      </w:r>
      <w:r>
        <w:rPr>
          <w:rFonts w:ascii="仿宋_GB2312" w:eastAsia="仿宋_GB2312" w:cs="仿宋_GB2312"/>
          <w:sz w:val="32"/>
          <w:szCs w:val="32"/>
        </w:rPr>
        <w:t>1</w:t>
      </w: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w:t>
      </w:r>
    </w:p>
    <w:p w14:paraId="63309F60">
      <w:pPr>
        <w:spacing w:line="600" w:lineRule="exact"/>
        <w:ind w:firstLine="645"/>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.四级序号：使用括号阿拉伯数字：（</w:t>
      </w:r>
      <w:r>
        <w:rPr>
          <w:rFonts w:ascii="仿宋_GB2312" w:eastAsia="仿宋_GB2312" w:cs="仿宋_GB2312"/>
          <w:sz w:val="32"/>
          <w:szCs w:val="32"/>
        </w:rPr>
        <w:t>1</w:t>
      </w: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w:t>
      </w:r>
    </w:p>
    <w:p w14:paraId="5B5F0BB4">
      <w:pPr>
        <w:spacing w:line="600" w:lineRule="exact"/>
        <w:ind w:firstLine="645"/>
      </w:pPr>
      <w:r>
        <w:rPr>
          <w:rFonts w:ascii="仿宋_GB2312" w:eastAsia="仿宋_GB2312" w:cs="仿宋_GB2312"/>
          <w:sz w:val="32"/>
          <w:szCs w:val="32"/>
        </w:rPr>
        <w:t>5</w:t>
      </w:r>
      <w:r>
        <w:rPr>
          <w:rFonts w:hint="eastAsia" w:ascii="仿宋_GB2312" w:eastAsia="仿宋_GB2312" w:cs="仿宋_GB2312"/>
          <w:sz w:val="32"/>
          <w:szCs w:val="32"/>
        </w:rPr>
        <w:t>.五级序号：使用圆圈阿拉伯数字：</w:t>
      </w:r>
      <w:r>
        <w:rPr>
          <w:rFonts w:hint="eastAsia" w:ascii="仿宋_GB2312" w:hAnsi="宋体" w:eastAsia="仿宋_GB2312" w:cs="仿宋_GB2312"/>
          <w:sz w:val="32"/>
          <w:szCs w:val="32"/>
        </w:rPr>
        <w:t>①②</w:t>
      </w:r>
      <w:r>
        <w:rPr>
          <w:rFonts w:hint="eastAsia" w:ascii="仿宋_GB2312" w:eastAsia="仿宋_GB2312" w:cs="仿宋_GB2312"/>
          <w:sz w:val="32"/>
          <w:szCs w:val="32"/>
        </w:rPr>
        <w:t>……</w:t>
      </w:r>
    </w:p>
    <w:p w14:paraId="6D9B48B1">
      <w:pPr>
        <w:rPr>
          <w:rFonts w:hint="eastAsia" w:ascii="黑体" w:hAnsi="黑体" w:eastAsia="黑体"/>
          <w:sz w:val="32"/>
          <w:szCs w:val="32"/>
        </w:rPr>
      </w:pPr>
      <w:r>
        <w:br w:type="page"/>
      </w:r>
      <w:bookmarkStart w:id="2" w:name="OLE_LINK62"/>
      <w:bookmarkStart w:id="3" w:name="OLE_LINK44"/>
      <w:bookmarkStart w:id="4" w:name="OLE_LINK45"/>
      <w:bookmarkStart w:id="5" w:name="OLE_LINK49"/>
      <w:r>
        <w:rPr>
          <w:rFonts w:hint="eastAsia" w:ascii="黑体" w:hAnsi="黑体" w:eastAsia="黑体"/>
          <w:sz w:val="32"/>
          <w:szCs w:val="32"/>
        </w:rPr>
        <w:t>附件4</w:t>
      </w:r>
    </w:p>
    <w:p w14:paraId="7FB771E7">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第十七届山东省职业院校技能大赛</w:t>
      </w:r>
    </w:p>
    <w:p w14:paraId="7940A2BC">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组织工作通讯信息表</w:t>
      </w:r>
    </w:p>
    <w:bookmarkEnd w:id="2"/>
    <w:bookmarkEnd w:id="3"/>
    <w:bookmarkEnd w:id="4"/>
    <w:bookmarkEnd w:id="5"/>
    <w:tbl>
      <w:tblPr>
        <w:tblStyle w:val="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384"/>
        <w:gridCol w:w="1354"/>
        <w:gridCol w:w="1661"/>
        <w:gridCol w:w="1373"/>
        <w:gridCol w:w="2038"/>
      </w:tblGrid>
      <w:tr w14:paraId="6088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00" w:type="pct"/>
            <w:gridSpan w:val="6"/>
            <w:vAlign w:val="center"/>
          </w:tcPr>
          <w:p w14:paraId="3FB010FD">
            <w:pPr>
              <w:jc w:val="center"/>
              <w:rPr>
                <w:rFonts w:hint="eastAsia" w:ascii="黑体" w:hAnsi="黑体" w:eastAsia="黑体"/>
                <w:bCs/>
                <w:sz w:val="24"/>
              </w:rPr>
            </w:pPr>
            <w:r>
              <w:rPr>
                <w:rFonts w:hint="eastAsia" w:ascii="黑体" w:hAnsi="黑体" w:eastAsia="黑体"/>
                <w:bCs/>
                <w:sz w:val="24"/>
              </w:rPr>
              <w:t>中、高职组赛项承办院校填报以下信息</w:t>
            </w:r>
          </w:p>
        </w:tc>
      </w:tr>
      <w:tr w14:paraId="24E9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Align w:val="center"/>
          </w:tcPr>
          <w:p w14:paraId="73DAEFEF">
            <w:pPr>
              <w:jc w:val="center"/>
              <w:rPr>
                <w:rFonts w:hint="eastAsia" w:ascii="仿宋_GB2312" w:hAnsi="宋体" w:eastAsia="仿宋_GB2312"/>
              </w:rPr>
            </w:pPr>
            <w:r>
              <w:rPr>
                <w:rFonts w:hint="eastAsia" w:ascii="仿宋_GB2312" w:hAnsi="宋体" w:eastAsia="仿宋_GB2312"/>
              </w:rPr>
              <w:t>承办赛项名称</w:t>
            </w:r>
          </w:p>
        </w:tc>
        <w:tc>
          <w:tcPr>
            <w:tcW w:w="4204" w:type="pct"/>
            <w:gridSpan w:val="5"/>
            <w:vAlign w:val="center"/>
          </w:tcPr>
          <w:p w14:paraId="3133A261">
            <w:pPr>
              <w:jc w:val="left"/>
              <w:rPr>
                <w:rFonts w:hint="eastAsia" w:ascii="仿宋_GB2312" w:hAnsi="宋体" w:eastAsia="仿宋_GB2312"/>
              </w:rPr>
            </w:pPr>
            <w:r>
              <w:rPr>
                <w:rFonts w:hint="eastAsia" w:ascii="仿宋_GB2312" w:hAnsi="宋体" w:eastAsia="仿宋_GB2312"/>
              </w:rPr>
              <w:t>（X职组）XXX</w:t>
            </w:r>
          </w:p>
        </w:tc>
      </w:tr>
      <w:tr w14:paraId="3055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Align w:val="center"/>
          </w:tcPr>
          <w:p w14:paraId="21A847A6">
            <w:pPr>
              <w:jc w:val="center"/>
              <w:rPr>
                <w:rFonts w:hint="eastAsia" w:ascii="仿宋_GB2312" w:hAnsi="宋体" w:eastAsia="仿宋_GB2312"/>
              </w:rPr>
            </w:pPr>
            <w:r>
              <w:rPr>
                <w:rFonts w:hint="eastAsia" w:ascii="仿宋_GB2312" w:hAnsi="宋体" w:eastAsia="仿宋_GB2312"/>
              </w:rPr>
              <w:t>承办院校名称</w:t>
            </w:r>
          </w:p>
        </w:tc>
        <w:tc>
          <w:tcPr>
            <w:tcW w:w="4204" w:type="pct"/>
            <w:gridSpan w:val="5"/>
            <w:vAlign w:val="center"/>
          </w:tcPr>
          <w:p w14:paraId="4FD16D2B">
            <w:pPr>
              <w:jc w:val="left"/>
              <w:rPr>
                <w:rFonts w:hint="eastAsia" w:ascii="仿宋_GB2312" w:hAnsi="宋体" w:eastAsia="仿宋_GB2312"/>
              </w:rPr>
            </w:pPr>
          </w:p>
        </w:tc>
      </w:tr>
      <w:tr w14:paraId="2B77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restart"/>
            <w:vAlign w:val="center"/>
          </w:tcPr>
          <w:p w14:paraId="68390AE9">
            <w:pPr>
              <w:jc w:val="center"/>
              <w:rPr>
                <w:rFonts w:hint="eastAsia" w:ascii="仿宋_GB2312" w:hAnsi="宋体" w:eastAsia="仿宋_GB2312"/>
              </w:rPr>
            </w:pPr>
            <w:r>
              <w:rPr>
                <w:rFonts w:hint="eastAsia" w:ascii="仿宋_GB2312" w:hAnsi="宋体" w:eastAsia="仿宋_GB2312"/>
              </w:rPr>
              <w:t>分管校级领导姓名</w:t>
            </w:r>
          </w:p>
        </w:tc>
        <w:tc>
          <w:tcPr>
            <w:tcW w:w="745" w:type="pct"/>
            <w:vMerge w:val="restart"/>
            <w:vAlign w:val="center"/>
          </w:tcPr>
          <w:p w14:paraId="6F647C6F">
            <w:pPr>
              <w:jc w:val="center"/>
              <w:rPr>
                <w:rFonts w:hint="eastAsia" w:ascii="仿宋_GB2312" w:hAnsi="宋体" w:eastAsia="仿宋_GB2312"/>
              </w:rPr>
            </w:pPr>
          </w:p>
        </w:tc>
        <w:tc>
          <w:tcPr>
            <w:tcW w:w="729" w:type="pct"/>
            <w:vAlign w:val="center"/>
          </w:tcPr>
          <w:p w14:paraId="7D06AED3">
            <w:pPr>
              <w:jc w:val="center"/>
              <w:rPr>
                <w:rFonts w:hint="eastAsia" w:ascii="仿宋_GB2312" w:hAnsi="宋体" w:eastAsia="仿宋_GB2312"/>
              </w:rPr>
            </w:pPr>
            <w:r>
              <w:rPr>
                <w:rFonts w:hint="eastAsia" w:ascii="仿宋_GB2312" w:hAnsi="宋体" w:eastAsia="仿宋_GB2312"/>
              </w:rPr>
              <w:t>职务</w:t>
            </w:r>
          </w:p>
        </w:tc>
        <w:tc>
          <w:tcPr>
            <w:tcW w:w="894" w:type="pct"/>
            <w:vAlign w:val="center"/>
          </w:tcPr>
          <w:p w14:paraId="046DC247">
            <w:pPr>
              <w:jc w:val="center"/>
              <w:rPr>
                <w:rFonts w:hint="eastAsia" w:ascii="仿宋_GB2312" w:hAnsi="宋体" w:eastAsia="仿宋_GB2312"/>
              </w:rPr>
            </w:pPr>
          </w:p>
        </w:tc>
        <w:tc>
          <w:tcPr>
            <w:tcW w:w="739" w:type="pct"/>
            <w:vAlign w:val="center"/>
          </w:tcPr>
          <w:p w14:paraId="01C2C762">
            <w:pPr>
              <w:jc w:val="center"/>
              <w:rPr>
                <w:rFonts w:hint="eastAsia" w:ascii="仿宋_GB2312" w:hAnsi="宋体" w:eastAsia="仿宋_GB2312"/>
              </w:rPr>
            </w:pPr>
            <w:r>
              <w:rPr>
                <w:rFonts w:hint="eastAsia" w:ascii="仿宋_GB2312" w:hAnsi="宋体" w:eastAsia="仿宋_GB2312"/>
              </w:rPr>
              <w:t>手机</w:t>
            </w:r>
          </w:p>
        </w:tc>
        <w:tc>
          <w:tcPr>
            <w:tcW w:w="1097" w:type="pct"/>
            <w:vAlign w:val="center"/>
          </w:tcPr>
          <w:p w14:paraId="2867A6D0">
            <w:pPr>
              <w:jc w:val="center"/>
              <w:rPr>
                <w:rFonts w:hint="eastAsia" w:ascii="仿宋_GB2312" w:hAnsi="宋体" w:eastAsia="仿宋_GB2312"/>
              </w:rPr>
            </w:pPr>
          </w:p>
        </w:tc>
      </w:tr>
      <w:tr w14:paraId="21C3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continue"/>
            <w:vAlign w:val="center"/>
          </w:tcPr>
          <w:p w14:paraId="16FEF630">
            <w:pPr>
              <w:jc w:val="center"/>
              <w:rPr>
                <w:rFonts w:hint="eastAsia" w:ascii="仿宋_GB2312" w:hAnsi="宋体" w:eastAsia="仿宋_GB2312"/>
              </w:rPr>
            </w:pPr>
          </w:p>
        </w:tc>
        <w:tc>
          <w:tcPr>
            <w:tcW w:w="745" w:type="pct"/>
            <w:vMerge w:val="continue"/>
            <w:vAlign w:val="center"/>
          </w:tcPr>
          <w:p w14:paraId="4E37569E">
            <w:pPr>
              <w:jc w:val="center"/>
              <w:rPr>
                <w:rFonts w:hint="eastAsia" w:ascii="仿宋_GB2312" w:hAnsi="宋体" w:eastAsia="仿宋_GB2312"/>
              </w:rPr>
            </w:pPr>
          </w:p>
        </w:tc>
        <w:tc>
          <w:tcPr>
            <w:tcW w:w="729" w:type="pct"/>
            <w:vAlign w:val="center"/>
          </w:tcPr>
          <w:p w14:paraId="3C02DAAB">
            <w:pPr>
              <w:jc w:val="center"/>
              <w:rPr>
                <w:rFonts w:hint="eastAsia" w:ascii="仿宋_GB2312" w:hAnsi="宋体" w:eastAsia="仿宋_GB2312"/>
              </w:rPr>
            </w:pPr>
            <w:r>
              <w:rPr>
                <w:rFonts w:hint="eastAsia" w:ascii="仿宋_GB2312" w:hAnsi="宋体" w:eastAsia="仿宋_GB2312"/>
              </w:rPr>
              <w:t>办公电话</w:t>
            </w:r>
          </w:p>
        </w:tc>
        <w:tc>
          <w:tcPr>
            <w:tcW w:w="894" w:type="pct"/>
            <w:vAlign w:val="center"/>
          </w:tcPr>
          <w:p w14:paraId="548BA1D8">
            <w:pPr>
              <w:jc w:val="center"/>
              <w:rPr>
                <w:rFonts w:hint="eastAsia" w:ascii="仿宋_GB2312" w:hAnsi="宋体" w:eastAsia="仿宋_GB2312"/>
              </w:rPr>
            </w:pPr>
          </w:p>
        </w:tc>
        <w:tc>
          <w:tcPr>
            <w:tcW w:w="739" w:type="pct"/>
            <w:vAlign w:val="center"/>
          </w:tcPr>
          <w:p w14:paraId="0BCCBF80">
            <w:pPr>
              <w:jc w:val="center"/>
              <w:rPr>
                <w:rFonts w:hint="eastAsia" w:ascii="仿宋_GB2312" w:hAnsi="宋体" w:eastAsia="仿宋_GB2312"/>
              </w:rPr>
            </w:pPr>
            <w:r>
              <w:rPr>
                <w:rFonts w:hint="eastAsia" w:ascii="仿宋_GB2312" w:hAnsi="宋体" w:eastAsia="仿宋_GB2312"/>
              </w:rPr>
              <w:t>电子邮箱</w:t>
            </w:r>
          </w:p>
        </w:tc>
        <w:tc>
          <w:tcPr>
            <w:tcW w:w="1097" w:type="pct"/>
            <w:vAlign w:val="center"/>
          </w:tcPr>
          <w:p w14:paraId="48DB57C8">
            <w:pPr>
              <w:jc w:val="center"/>
              <w:rPr>
                <w:rFonts w:hint="eastAsia" w:ascii="仿宋_GB2312" w:hAnsi="宋体" w:eastAsia="仿宋_GB2312"/>
              </w:rPr>
            </w:pPr>
          </w:p>
        </w:tc>
      </w:tr>
      <w:tr w14:paraId="76E2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restart"/>
            <w:vAlign w:val="center"/>
          </w:tcPr>
          <w:p w14:paraId="637A19B8">
            <w:pPr>
              <w:jc w:val="center"/>
              <w:rPr>
                <w:rFonts w:hint="eastAsia" w:ascii="仿宋_GB2312" w:hAnsi="宋体" w:eastAsia="仿宋_GB2312"/>
              </w:rPr>
            </w:pPr>
            <w:r>
              <w:rPr>
                <w:rFonts w:hint="eastAsia" w:ascii="仿宋_GB2312" w:hAnsi="宋体" w:eastAsia="仿宋_GB2312"/>
              </w:rPr>
              <w:t>赛项负责人</w:t>
            </w:r>
          </w:p>
          <w:p w14:paraId="5E398760">
            <w:pPr>
              <w:jc w:val="center"/>
              <w:rPr>
                <w:rFonts w:hint="eastAsia" w:ascii="仿宋_GB2312" w:hAnsi="宋体" w:eastAsia="仿宋_GB2312"/>
              </w:rPr>
            </w:pPr>
            <w:r>
              <w:rPr>
                <w:rFonts w:hint="eastAsia" w:ascii="仿宋_GB2312" w:hAnsi="宋体" w:eastAsia="仿宋_GB2312"/>
              </w:rPr>
              <w:t>姓名</w:t>
            </w:r>
          </w:p>
        </w:tc>
        <w:tc>
          <w:tcPr>
            <w:tcW w:w="745" w:type="pct"/>
            <w:vMerge w:val="restart"/>
            <w:vAlign w:val="center"/>
          </w:tcPr>
          <w:p w14:paraId="600B5E6A">
            <w:pPr>
              <w:jc w:val="center"/>
              <w:rPr>
                <w:rFonts w:hint="eastAsia" w:ascii="仿宋_GB2312" w:hAnsi="宋体" w:eastAsia="仿宋_GB2312"/>
              </w:rPr>
            </w:pPr>
          </w:p>
        </w:tc>
        <w:tc>
          <w:tcPr>
            <w:tcW w:w="729" w:type="pct"/>
            <w:vAlign w:val="center"/>
          </w:tcPr>
          <w:p w14:paraId="2F3201F8">
            <w:pPr>
              <w:jc w:val="center"/>
              <w:rPr>
                <w:rFonts w:hint="eastAsia" w:ascii="仿宋_GB2312" w:hAnsi="宋体" w:eastAsia="仿宋_GB2312"/>
              </w:rPr>
            </w:pPr>
            <w:r>
              <w:rPr>
                <w:rFonts w:hint="eastAsia" w:ascii="仿宋_GB2312" w:hAnsi="宋体" w:eastAsia="仿宋_GB2312"/>
              </w:rPr>
              <w:t>部门</w:t>
            </w:r>
          </w:p>
        </w:tc>
        <w:tc>
          <w:tcPr>
            <w:tcW w:w="894" w:type="pct"/>
            <w:vAlign w:val="center"/>
          </w:tcPr>
          <w:p w14:paraId="2C824B6E">
            <w:pPr>
              <w:jc w:val="center"/>
              <w:rPr>
                <w:rFonts w:hint="eastAsia" w:ascii="仿宋_GB2312" w:hAnsi="宋体" w:eastAsia="仿宋_GB2312"/>
              </w:rPr>
            </w:pPr>
          </w:p>
        </w:tc>
        <w:tc>
          <w:tcPr>
            <w:tcW w:w="739" w:type="pct"/>
            <w:vAlign w:val="center"/>
          </w:tcPr>
          <w:p w14:paraId="1D94879D">
            <w:pPr>
              <w:jc w:val="center"/>
              <w:rPr>
                <w:rFonts w:hint="eastAsia" w:ascii="仿宋_GB2312" w:hAnsi="宋体" w:eastAsia="仿宋_GB2312"/>
              </w:rPr>
            </w:pPr>
            <w:r>
              <w:rPr>
                <w:rFonts w:hint="eastAsia" w:ascii="仿宋_GB2312" w:hAnsi="宋体" w:eastAsia="仿宋_GB2312"/>
              </w:rPr>
              <w:t>手机</w:t>
            </w:r>
          </w:p>
        </w:tc>
        <w:tc>
          <w:tcPr>
            <w:tcW w:w="1097" w:type="pct"/>
            <w:vAlign w:val="center"/>
          </w:tcPr>
          <w:p w14:paraId="662364E7">
            <w:pPr>
              <w:jc w:val="center"/>
              <w:rPr>
                <w:rFonts w:hint="eastAsia" w:ascii="仿宋_GB2312" w:hAnsi="宋体" w:eastAsia="仿宋_GB2312"/>
              </w:rPr>
            </w:pPr>
          </w:p>
        </w:tc>
      </w:tr>
      <w:tr w14:paraId="5B17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continue"/>
            <w:vAlign w:val="center"/>
          </w:tcPr>
          <w:p w14:paraId="7AD427EA">
            <w:pPr>
              <w:jc w:val="center"/>
              <w:rPr>
                <w:rFonts w:hint="eastAsia" w:ascii="仿宋_GB2312" w:hAnsi="宋体" w:eastAsia="仿宋_GB2312"/>
              </w:rPr>
            </w:pPr>
          </w:p>
        </w:tc>
        <w:tc>
          <w:tcPr>
            <w:tcW w:w="745" w:type="pct"/>
            <w:vMerge w:val="continue"/>
            <w:vAlign w:val="center"/>
          </w:tcPr>
          <w:p w14:paraId="380C341E">
            <w:pPr>
              <w:jc w:val="center"/>
              <w:rPr>
                <w:rFonts w:hint="eastAsia" w:ascii="仿宋_GB2312" w:hAnsi="宋体" w:eastAsia="仿宋_GB2312"/>
              </w:rPr>
            </w:pPr>
          </w:p>
        </w:tc>
        <w:tc>
          <w:tcPr>
            <w:tcW w:w="729" w:type="pct"/>
            <w:vAlign w:val="center"/>
          </w:tcPr>
          <w:p w14:paraId="47384355">
            <w:pPr>
              <w:jc w:val="center"/>
              <w:rPr>
                <w:rFonts w:hint="eastAsia" w:ascii="仿宋_GB2312" w:hAnsi="宋体" w:eastAsia="仿宋_GB2312"/>
              </w:rPr>
            </w:pPr>
            <w:r>
              <w:rPr>
                <w:rFonts w:hint="eastAsia" w:ascii="仿宋_GB2312" w:hAnsi="宋体" w:eastAsia="仿宋_GB2312"/>
              </w:rPr>
              <w:t>职务</w:t>
            </w:r>
          </w:p>
        </w:tc>
        <w:tc>
          <w:tcPr>
            <w:tcW w:w="894" w:type="pct"/>
            <w:vAlign w:val="center"/>
          </w:tcPr>
          <w:p w14:paraId="547BE4F3">
            <w:pPr>
              <w:jc w:val="center"/>
              <w:rPr>
                <w:rFonts w:hint="eastAsia" w:ascii="仿宋_GB2312" w:hAnsi="宋体" w:eastAsia="仿宋_GB2312"/>
              </w:rPr>
            </w:pPr>
          </w:p>
        </w:tc>
        <w:tc>
          <w:tcPr>
            <w:tcW w:w="739" w:type="pct"/>
            <w:vAlign w:val="center"/>
          </w:tcPr>
          <w:p w14:paraId="300B2CA6">
            <w:pPr>
              <w:jc w:val="center"/>
              <w:rPr>
                <w:rFonts w:hint="eastAsia" w:ascii="仿宋_GB2312" w:hAnsi="宋体" w:eastAsia="仿宋_GB2312"/>
              </w:rPr>
            </w:pPr>
            <w:r>
              <w:rPr>
                <w:rFonts w:hint="eastAsia" w:ascii="仿宋_GB2312" w:hAnsi="宋体" w:eastAsia="仿宋_GB2312"/>
              </w:rPr>
              <w:t>办公电话</w:t>
            </w:r>
          </w:p>
        </w:tc>
        <w:tc>
          <w:tcPr>
            <w:tcW w:w="1097" w:type="pct"/>
            <w:vAlign w:val="center"/>
          </w:tcPr>
          <w:p w14:paraId="37BCA523">
            <w:pPr>
              <w:jc w:val="center"/>
              <w:rPr>
                <w:rFonts w:hint="eastAsia" w:ascii="仿宋_GB2312" w:hAnsi="宋体" w:eastAsia="仿宋_GB2312"/>
              </w:rPr>
            </w:pPr>
          </w:p>
        </w:tc>
      </w:tr>
      <w:tr w14:paraId="6B11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continue"/>
            <w:vAlign w:val="center"/>
          </w:tcPr>
          <w:p w14:paraId="41A3FBBF">
            <w:pPr>
              <w:jc w:val="center"/>
              <w:rPr>
                <w:rFonts w:hint="eastAsia" w:ascii="仿宋_GB2312" w:hAnsi="宋体" w:eastAsia="仿宋_GB2312"/>
              </w:rPr>
            </w:pPr>
          </w:p>
        </w:tc>
        <w:tc>
          <w:tcPr>
            <w:tcW w:w="745" w:type="pct"/>
            <w:vMerge w:val="continue"/>
            <w:vAlign w:val="center"/>
          </w:tcPr>
          <w:p w14:paraId="4AFD944B">
            <w:pPr>
              <w:jc w:val="center"/>
              <w:rPr>
                <w:rFonts w:hint="eastAsia" w:ascii="仿宋_GB2312" w:hAnsi="宋体" w:eastAsia="仿宋_GB2312"/>
              </w:rPr>
            </w:pPr>
          </w:p>
        </w:tc>
        <w:tc>
          <w:tcPr>
            <w:tcW w:w="729" w:type="pct"/>
            <w:vAlign w:val="center"/>
          </w:tcPr>
          <w:p w14:paraId="7D2EED24">
            <w:pPr>
              <w:jc w:val="center"/>
              <w:rPr>
                <w:rFonts w:hint="eastAsia" w:ascii="仿宋_GB2312" w:hAnsi="宋体" w:eastAsia="仿宋_GB2312"/>
              </w:rPr>
            </w:pPr>
            <w:r>
              <w:rPr>
                <w:rFonts w:hint="eastAsia" w:ascii="仿宋_GB2312" w:hAnsi="宋体" w:eastAsia="仿宋_GB2312"/>
              </w:rPr>
              <w:t>电子邮箱</w:t>
            </w:r>
          </w:p>
        </w:tc>
        <w:tc>
          <w:tcPr>
            <w:tcW w:w="2729" w:type="pct"/>
            <w:gridSpan w:val="3"/>
            <w:vAlign w:val="center"/>
          </w:tcPr>
          <w:p w14:paraId="0C4C6D80">
            <w:pPr>
              <w:jc w:val="center"/>
              <w:rPr>
                <w:rFonts w:hint="eastAsia" w:ascii="仿宋_GB2312" w:hAnsi="宋体" w:eastAsia="仿宋_GB2312"/>
              </w:rPr>
            </w:pPr>
          </w:p>
        </w:tc>
      </w:tr>
      <w:tr w14:paraId="572C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000" w:type="pct"/>
            <w:gridSpan w:val="6"/>
            <w:vAlign w:val="center"/>
          </w:tcPr>
          <w:p w14:paraId="193D13C5">
            <w:pPr>
              <w:jc w:val="center"/>
              <w:rPr>
                <w:rFonts w:hint="eastAsia" w:ascii="黑体" w:hAnsi="黑体" w:eastAsia="黑体"/>
                <w:bCs/>
              </w:rPr>
            </w:pPr>
            <w:r>
              <w:rPr>
                <w:rFonts w:hint="eastAsia" w:ascii="黑体" w:hAnsi="黑体" w:eastAsia="黑体"/>
                <w:bCs/>
                <w:sz w:val="24"/>
              </w:rPr>
              <w:t>中职组竞赛组织工作牵头院校填报以下信息</w:t>
            </w:r>
          </w:p>
        </w:tc>
      </w:tr>
      <w:tr w14:paraId="1E24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Align w:val="center"/>
          </w:tcPr>
          <w:p w14:paraId="552BFCC4">
            <w:pPr>
              <w:jc w:val="center"/>
              <w:rPr>
                <w:rFonts w:hint="eastAsia" w:ascii="仿宋_GB2312" w:hAnsi="宋体" w:eastAsia="仿宋_GB2312"/>
              </w:rPr>
            </w:pPr>
            <w:r>
              <w:rPr>
                <w:rFonts w:hint="eastAsia" w:ascii="仿宋_GB2312" w:hAnsi="宋体" w:eastAsia="仿宋_GB2312"/>
              </w:rPr>
              <w:t>牵头赛项名称</w:t>
            </w:r>
          </w:p>
        </w:tc>
        <w:tc>
          <w:tcPr>
            <w:tcW w:w="4204" w:type="pct"/>
            <w:gridSpan w:val="5"/>
            <w:vAlign w:val="center"/>
          </w:tcPr>
          <w:p w14:paraId="138CDDC6">
            <w:pPr>
              <w:jc w:val="left"/>
              <w:rPr>
                <w:rFonts w:hint="eastAsia" w:ascii="仿宋_GB2312" w:hAnsi="宋体" w:eastAsia="仿宋_GB2312"/>
              </w:rPr>
            </w:pPr>
            <w:r>
              <w:rPr>
                <w:rFonts w:hint="eastAsia" w:ascii="仿宋_GB2312" w:hAnsi="宋体" w:eastAsia="仿宋_GB2312"/>
              </w:rPr>
              <w:t>（中职组）XXX</w:t>
            </w:r>
          </w:p>
        </w:tc>
      </w:tr>
      <w:tr w14:paraId="73BE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Align w:val="center"/>
          </w:tcPr>
          <w:p w14:paraId="7DCDE16D">
            <w:pPr>
              <w:jc w:val="center"/>
              <w:rPr>
                <w:rFonts w:hint="eastAsia" w:ascii="仿宋_GB2312" w:hAnsi="宋体" w:eastAsia="仿宋_GB2312"/>
              </w:rPr>
            </w:pPr>
            <w:r>
              <w:rPr>
                <w:rFonts w:hint="eastAsia" w:ascii="仿宋_GB2312" w:hAnsi="宋体" w:eastAsia="仿宋_GB2312"/>
              </w:rPr>
              <w:t>牵头院校名称</w:t>
            </w:r>
          </w:p>
        </w:tc>
        <w:tc>
          <w:tcPr>
            <w:tcW w:w="4204" w:type="pct"/>
            <w:gridSpan w:val="5"/>
            <w:vAlign w:val="center"/>
          </w:tcPr>
          <w:p w14:paraId="5E4E0FBA">
            <w:pPr>
              <w:jc w:val="left"/>
              <w:rPr>
                <w:rFonts w:hint="eastAsia" w:ascii="仿宋_GB2312" w:hAnsi="宋体" w:eastAsia="仿宋_GB2312"/>
              </w:rPr>
            </w:pPr>
          </w:p>
        </w:tc>
      </w:tr>
      <w:tr w14:paraId="2798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restart"/>
            <w:vAlign w:val="center"/>
          </w:tcPr>
          <w:p w14:paraId="63B4730E">
            <w:pPr>
              <w:jc w:val="center"/>
              <w:rPr>
                <w:rFonts w:hint="eastAsia" w:ascii="仿宋_GB2312" w:hAnsi="宋体" w:eastAsia="仿宋_GB2312"/>
              </w:rPr>
            </w:pPr>
            <w:r>
              <w:rPr>
                <w:rFonts w:hint="eastAsia" w:ascii="仿宋_GB2312" w:hAnsi="宋体" w:eastAsia="仿宋_GB2312"/>
              </w:rPr>
              <w:t>分管校级领导姓名</w:t>
            </w:r>
          </w:p>
        </w:tc>
        <w:tc>
          <w:tcPr>
            <w:tcW w:w="745" w:type="pct"/>
            <w:vMerge w:val="restart"/>
            <w:vAlign w:val="center"/>
          </w:tcPr>
          <w:p w14:paraId="1CAEBD39">
            <w:pPr>
              <w:jc w:val="center"/>
              <w:rPr>
                <w:rFonts w:hint="eastAsia" w:ascii="仿宋_GB2312" w:hAnsi="宋体" w:eastAsia="仿宋_GB2312"/>
              </w:rPr>
            </w:pPr>
          </w:p>
        </w:tc>
        <w:tc>
          <w:tcPr>
            <w:tcW w:w="729" w:type="pct"/>
            <w:vAlign w:val="center"/>
          </w:tcPr>
          <w:p w14:paraId="769E0513">
            <w:pPr>
              <w:jc w:val="center"/>
              <w:rPr>
                <w:rFonts w:hint="eastAsia" w:ascii="仿宋_GB2312" w:hAnsi="宋体" w:eastAsia="仿宋_GB2312"/>
              </w:rPr>
            </w:pPr>
            <w:r>
              <w:rPr>
                <w:rFonts w:hint="eastAsia" w:ascii="仿宋_GB2312" w:hAnsi="宋体" w:eastAsia="仿宋_GB2312"/>
              </w:rPr>
              <w:t>职务</w:t>
            </w:r>
          </w:p>
        </w:tc>
        <w:tc>
          <w:tcPr>
            <w:tcW w:w="894" w:type="pct"/>
            <w:vAlign w:val="center"/>
          </w:tcPr>
          <w:p w14:paraId="2735B426">
            <w:pPr>
              <w:jc w:val="center"/>
              <w:rPr>
                <w:rFonts w:hint="eastAsia" w:ascii="仿宋_GB2312" w:hAnsi="宋体" w:eastAsia="仿宋_GB2312"/>
              </w:rPr>
            </w:pPr>
          </w:p>
        </w:tc>
        <w:tc>
          <w:tcPr>
            <w:tcW w:w="739" w:type="pct"/>
            <w:vAlign w:val="center"/>
          </w:tcPr>
          <w:p w14:paraId="524CCE3A">
            <w:pPr>
              <w:jc w:val="center"/>
              <w:rPr>
                <w:rFonts w:hint="eastAsia" w:ascii="仿宋_GB2312" w:hAnsi="宋体" w:eastAsia="仿宋_GB2312"/>
              </w:rPr>
            </w:pPr>
            <w:r>
              <w:rPr>
                <w:rFonts w:hint="eastAsia" w:ascii="仿宋_GB2312" w:hAnsi="宋体" w:eastAsia="仿宋_GB2312"/>
              </w:rPr>
              <w:t>手机</w:t>
            </w:r>
          </w:p>
        </w:tc>
        <w:tc>
          <w:tcPr>
            <w:tcW w:w="1097" w:type="pct"/>
            <w:vAlign w:val="center"/>
          </w:tcPr>
          <w:p w14:paraId="6790584A">
            <w:pPr>
              <w:jc w:val="center"/>
              <w:rPr>
                <w:rFonts w:hint="eastAsia" w:ascii="仿宋_GB2312" w:hAnsi="宋体" w:eastAsia="仿宋_GB2312"/>
              </w:rPr>
            </w:pPr>
          </w:p>
        </w:tc>
      </w:tr>
      <w:tr w14:paraId="57E2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continue"/>
            <w:vAlign w:val="center"/>
          </w:tcPr>
          <w:p w14:paraId="0EF21764">
            <w:pPr>
              <w:jc w:val="center"/>
              <w:rPr>
                <w:rFonts w:hint="eastAsia" w:ascii="仿宋_GB2312" w:hAnsi="宋体" w:eastAsia="仿宋_GB2312"/>
              </w:rPr>
            </w:pPr>
          </w:p>
        </w:tc>
        <w:tc>
          <w:tcPr>
            <w:tcW w:w="745" w:type="pct"/>
            <w:vMerge w:val="continue"/>
            <w:vAlign w:val="center"/>
          </w:tcPr>
          <w:p w14:paraId="787820D4">
            <w:pPr>
              <w:jc w:val="center"/>
              <w:rPr>
                <w:rFonts w:hint="eastAsia" w:ascii="仿宋_GB2312" w:hAnsi="宋体" w:eastAsia="仿宋_GB2312"/>
              </w:rPr>
            </w:pPr>
          </w:p>
        </w:tc>
        <w:tc>
          <w:tcPr>
            <w:tcW w:w="729" w:type="pct"/>
            <w:vAlign w:val="center"/>
          </w:tcPr>
          <w:p w14:paraId="33906C7D">
            <w:pPr>
              <w:jc w:val="center"/>
              <w:rPr>
                <w:rFonts w:hint="eastAsia" w:ascii="仿宋_GB2312" w:hAnsi="宋体" w:eastAsia="仿宋_GB2312"/>
              </w:rPr>
            </w:pPr>
            <w:r>
              <w:rPr>
                <w:rFonts w:hint="eastAsia" w:ascii="仿宋_GB2312" w:hAnsi="宋体" w:eastAsia="仿宋_GB2312"/>
              </w:rPr>
              <w:t>办公电话</w:t>
            </w:r>
          </w:p>
        </w:tc>
        <w:tc>
          <w:tcPr>
            <w:tcW w:w="894" w:type="pct"/>
            <w:vAlign w:val="center"/>
          </w:tcPr>
          <w:p w14:paraId="469EBA79">
            <w:pPr>
              <w:jc w:val="center"/>
              <w:rPr>
                <w:rFonts w:hint="eastAsia" w:ascii="仿宋_GB2312" w:hAnsi="宋体" w:eastAsia="仿宋_GB2312"/>
              </w:rPr>
            </w:pPr>
          </w:p>
        </w:tc>
        <w:tc>
          <w:tcPr>
            <w:tcW w:w="739" w:type="pct"/>
            <w:vAlign w:val="center"/>
          </w:tcPr>
          <w:p w14:paraId="52647D3C">
            <w:pPr>
              <w:jc w:val="center"/>
              <w:rPr>
                <w:rFonts w:hint="eastAsia" w:ascii="仿宋_GB2312" w:hAnsi="宋体" w:eastAsia="仿宋_GB2312"/>
              </w:rPr>
            </w:pPr>
            <w:r>
              <w:rPr>
                <w:rFonts w:hint="eastAsia" w:ascii="仿宋_GB2312" w:hAnsi="宋体" w:eastAsia="仿宋_GB2312"/>
              </w:rPr>
              <w:t>电子邮箱</w:t>
            </w:r>
          </w:p>
        </w:tc>
        <w:tc>
          <w:tcPr>
            <w:tcW w:w="1097" w:type="pct"/>
            <w:vAlign w:val="center"/>
          </w:tcPr>
          <w:p w14:paraId="7425595C">
            <w:pPr>
              <w:jc w:val="center"/>
              <w:rPr>
                <w:rFonts w:hint="eastAsia" w:ascii="仿宋_GB2312" w:hAnsi="宋体" w:eastAsia="仿宋_GB2312"/>
              </w:rPr>
            </w:pPr>
          </w:p>
        </w:tc>
      </w:tr>
      <w:tr w14:paraId="4846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restart"/>
            <w:vAlign w:val="center"/>
          </w:tcPr>
          <w:p w14:paraId="172E23C7">
            <w:pPr>
              <w:jc w:val="center"/>
              <w:rPr>
                <w:rFonts w:hint="eastAsia" w:ascii="仿宋_GB2312" w:hAnsi="宋体" w:eastAsia="仿宋_GB2312"/>
              </w:rPr>
            </w:pPr>
            <w:r>
              <w:rPr>
                <w:rFonts w:hint="eastAsia" w:ascii="仿宋_GB2312" w:hAnsi="宋体" w:eastAsia="仿宋_GB2312"/>
              </w:rPr>
              <w:t>赛项负责人</w:t>
            </w:r>
          </w:p>
          <w:p w14:paraId="601F39B2">
            <w:pPr>
              <w:jc w:val="center"/>
              <w:rPr>
                <w:rFonts w:hint="eastAsia" w:ascii="仿宋_GB2312" w:hAnsi="宋体" w:eastAsia="仿宋_GB2312"/>
              </w:rPr>
            </w:pPr>
            <w:r>
              <w:rPr>
                <w:rFonts w:hint="eastAsia" w:ascii="仿宋_GB2312" w:hAnsi="宋体" w:eastAsia="仿宋_GB2312"/>
              </w:rPr>
              <w:t>姓名</w:t>
            </w:r>
          </w:p>
        </w:tc>
        <w:tc>
          <w:tcPr>
            <w:tcW w:w="745" w:type="pct"/>
            <w:vMerge w:val="restart"/>
            <w:vAlign w:val="center"/>
          </w:tcPr>
          <w:p w14:paraId="28F5488B">
            <w:pPr>
              <w:jc w:val="center"/>
              <w:rPr>
                <w:rFonts w:hint="eastAsia" w:ascii="仿宋_GB2312" w:hAnsi="宋体" w:eastAsia="仿宋_GB2312"/>
              </w:rPr>
            </w:pPr>
          </w:p>
        </w:tc>
        <w:tc>
          <w:tcPr>
            <w:tcW w:w="729" w:type="pct"/>
            <w:vAlign w:val="center"/>
          </w:tcPr>
          <w:p w14:paraId="64ECBF08">
            <w:pPr>
              <w:jc w:val="center"/>
              <w:rPr>
                <w:rFonts w:hint="eastAsia" w:ascii="仿宋_GB2312" w:hAnsi="宋体" w:eastAsia="仿宋_GB2312"/>
              </w:rPr>
            </w:pPr>
            <w:r>
              <w:rPr>
                <w:rFonts w:hint="eastAsia" w:ascii="仿宋_GB2312" w:hAnsi="宋体" w:eastAsia="仿宋_GB2312"/>
              </w:rPr>
              <w:t>部门</w:t>
            </w:r>
          </w:p>
        </w:tc>
        <w:tc>
          <w:tcPr>
            <w:tcW w:w="894" w:type="pct"/>
            <w:vAlign w:val="center"/>
          </w:tcPr>
          <w:p w14:paraId="69697B22">
            <w:pPr>
              <w:jc w:val="center"/>
              <w:rPr>
                <w:rFonts w:hint="eastAsia" w:ascii="仿宋_GB2312" w:hAnsi="宋体" w:eastAsia="仿宋_GB2312"/>
              </w:rPr>
            </w:pPr>
          </w:p>
        </w:tc>
        <w:tc>
          <w:tcPr>
            <w:tcW w:w="739" w:type="pct"/>
            <w:vAlign w:val="center"/>
          </w:tcPr>
          <w:p w14:paraId="0EA5B068">
            <w:pPr>
              <w:jc w:val="center"/>
              <w:rPr>
                <w:rFonts w:hint="eastAsia" w:ascii="仿宋_GB2312" w:hAnsi="宋体" w:eastAsia="仿宋_GB2312"/>
              </w:rPr>
            </w:pPr>
            <w:r>
              <w:rPr>
                <w:rFonts w:hint="eastAsia" w:ascii="仿宋_GB2312" w:hAnsi="宋体" w:eastAsia="仿宋_GB2312"/>
              </w:rPr>
              <w:t>手机</w:t>
            </w:r>
          </w:p>
        </w:tc>
        <w:tc>
          <w:tcPr>
            <w:tcW w:w="1097" w:type="pct"/>
            <w:vAlign w:val="center"/>
          </w:tcPr>
          <w:p w14:paraId="056D2C39">
            <w:pPr>
              <w:jc w:val="center"/>
              <w:rPr>
                <w:rFonts w:hint="eastAsia" w:ascii="仿宋_GB2312" w:hAnsi="宋体" w:eastAsia="仿宋_GB2312"/>
              </w:rPr>
            </w:pPr>
          </w:p>
        </w:tc>
      </w:tr>
      <w:tr w14:paraId="56D9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continue"/>
            <w:vAlign w:val="center"/>
          </w:tcPr>
          <w:p w14:paraId="4A3E42B8">
            <w:pPr>
              <w:jc w:val="center"/>
              <w:rPr>
                <w:rFonts w:hint="eastAsia" w:ascii="仿宋_GB2312" w:hAnsi="宋体" w:eastAsia="仿宋_GB2312"/>
                <w:b/>
              </w:rPr>
            </w:pPr>
          </w:p>
        </w:tc>
        <w:tc>
          <w:tcPr>
            <w:tcW w:w="745" w:type="pct"/>
            <w:vMerge w:val="continue"/>
            <w:vAlign w:val="center"/>
          </w:tcPr>
          <w:p w14:paraId="5192669B">
            <w:pPr>
              <w:jc w:val="center"/>
              <w:rPr>
                <w:rFonts w:hint="eastAsia" w:ascii="仿宋_GB2312" w:hAnsi="宋体" w:eastAsia="仿宋_GB2312"/>
                <w:b/>
              </w:rPr>
            </w:pPr>
          </w:p>
        </w:tc>
        <w:tc>
          <w:tcPr>
            <w:tcW w:w="729" w:type="pct"/>
            <w:vAlign w:val="center"/>
          </w:tcPr>
          <w:p w14:paraId="7877395F">
            <w:pPr>
              <w:jc w:val="center"/>
              <w:rPr>
                <w:rFonts w:hint="eastAsia" w:ascii="仿宋_GB2312" w:hAnsi="宋体" w:eastAsia="仿宋_GB2312"/>
                <w:b/>
              </w:rPr>
            </w:pPr>
            <w:r>
              <w:rPr>
                <w:rFonts w:hint="eastAsia" w:ascii="仿宋_GB2312" w:hAnsi="宋体" w:eastAsia="仿宋_GB2312"/>
              </w:rPr>
              <w:t>职务</w:t>
            </w:r>
          </w:p>
        </w:tc>
        <w:tc>
          <w:tcPr>
            <w:tcW w:w="894" w:type="pct"/>
            <w:vAlign w:val="center"/>
          </w:tcPr>
          <w:p w14:paraId="10E0F564">
            <w:pPr>
              <w:jc w:val="center"/>
              <w:rPr>
                <w:rFonts w:hint="eastAsia" w:ascii="仿宋_GB2312" w:hAnsi="宋体" w:eastAsia="仿宋_GB2312"/>
                <w:b/>
              </w:rPr>
            </w:pPr>
          </w:p>
        </w:tc>
        <w:tc>
          <w:tcPr>
            <w:tcW w:w="739" w:type="pct"/>
            <w:vAlign w:val="center"/>
          </w:tcPr>
          <w:p w14:paraId="2132A4D1">
            <w:pPr>
              <w:jc w:val="center"/>
              <w:rPr>
                <w:rFonts w:hint="eastAsia" w:ascii="仿宋_GB2312" w:hAnsi="宋体" w:eastAsia="仿宋_GB2312"/>
                <w:b/>
              </w:rPr>
            </w:pPr>
            <w:r>
              <w:rPr>
                <w:rFonts w:hint="eastAsia" w:ascii="仿宋_GB2312" w:hAnsi="宋体" w:eastAsia="仿宋_GB2312"/>
              </w:rPr>
              <w:t>办公电话</w:t>
            </w:r>
          </w:p>
        </w:tc>
        <w:tc>
          <w:tcPr>
            <w:tcW w:w="1097" w:type="pct"/>
            <w:vAlign w:val="center"/>
          </w:tcPr>
          <w:p w14:paraId="2EE9B534">
            <w:pPr>
              <w:jc w:val="center"/>
              <w:rPr>
                <w:rFonts w:hint="eastAsia" w:ascii="仿宋_GB2312" w:hAnsi="宋体" w:eastAsia="仿宋_GB2312"/>
                <w:b/>
              </w:rPr>
            </w:pPr>
          </w:p>
        </w:tc>
      </w:tr>
      <w:tr w14:paraId="32DC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6" w:type="pct"/>
            <w:vMerge w:val="continue"/>
            <w:vAlign w:val="center"/>
          </w:tcPr>
          <w:p w14:paraId="68637F2E">
            <w:pPr>
              <w:jc w:val="center"/>
              <w:rPr>
                <w:rFonts w:hint="eastAsia" w:ascii="仿宋_GB2312" w:hAnsi="宋体" w:eastAsia="仿宋_GB2312"/>
                <w:b/>
              </w:rPr>
            </w:pPr>
          </w:p>
        </w:tc>
        <w:tc>
          <w:tcPr>
            <w:tcW w:w="745" w:type="pct"/>
            <w:vMerge w:val="continue"/>
            <w:vAlign w:val="center"/>
          </w:tcPr>
          <w:p w14:paraId="4C12EDD6">
            <w:pPr>
              <w:jc w:val="center"/>
              <w:rPr>
                <w:rFonts w:hint="eastAsia" w:ascii="仿宋_GB2312" w:hAnsi="宋体" w:eastAsia="仿宋_GB2312"/>
                <w:b/>
              </w:rPr>
            </w:pPr>
          </w:p>
        </w:tc>
        <w:tc>
          <w:tcPr>
            <w:tcW w:w="729" w:type="pct"/>
            <w:vAlign w:val="center"/>
          </w:tcPr>
          <w:p w14:paraId="0D3B1AB0">
            <w:pPr>
              <w:jc w:val="center"/>
              <w:rPr>
                <w:rFonts w:hint="eastAsia" w:ascii="仿宋_GB2312" w:hAnsi="宋体" w:eastAsia="仿宋_GB2312"/>
                <w:b/>
              </w:rPr>
            </w:pPr>
            <w:r>
              <w:rPr>
                <w:rFonts w:hint="eastAsia" w:ascii="仿宋_GB2312" w:hAnsi="宋体" w:eastAsia="仿宋_GB2312"/>
              </w:rPr>
              <w:t>电子邮箱</w:t>
            </w:r>
          </w:p>
        </w:tc>
        <w:tc>
          <w:tcPr>
            <w:tcW w:w="2729" w:type="pct"/>
            <w:gridSpan w:val="3"/>
            <w:vAlign w:val="center"/>
          </w:tcPr>
          <w:p w14:paraId="2F7B93A7">
            <w:pPr>
              <w:jc w:val="center"/>
              <w:rPr>
                <w:rFonts w:hint="eastAsia" w:ascii="仿宋_GB2312" w:hAnsi="宋体" w:eastAsia="仿宋_GB2312"/>
                <w:b/>
              </w:rPr>
            </w:pPr>
          </w:p>
        </w:tc>
      </w:tr>
    </w:tbl>
    <w:p w14:paraId="43A82654">
      <w:pPr>
        <w:spacing w:before="93" w:beforeLines="30"/>
        <w:rPr>
          <w:rFonts w:ascii="仿宋_GB2312" w:eastAsia="仿宋_GB2312"/>
        </w:rPr>
      </w:pPr>
      <w:r>
        <w:rPr>
          <w:rFonts w:hint="eastAsia" w:ascii="仿宋_GB2312" w:hAnsi="宋体" w:eastAsia="仿宋_GB2312"/>
          <w:sz w:val="24"/>
        </w:rPr>
        <w:t>说明：中职和高职组赛项承办院校、中职组赛项组织工作牵头院校相关负责人分别填报</w:t>
      </w:r>
      <w:r>
        <w:rPr>
          <w:rFonts w:hint="eastAsia" w:ascii="仿宋_GB2312" w:hAnsi="宋体" w:eastAsia="仿宋_GB2312"/>
          <w:color w:val="000000" w:themeColor="text1"/>
          <w:sz w:val="24"/>
        </w:rPr>
        <w:t>此表。如同时承办（牵头）多个赛项，请按赛项名称分列为单个文件报送。请各院校于11月5日前</w:t>
      </w:r>
      <w:r>
        <w:rPr>
          <w:rFonts w:hint="eastAsia" w:ascii="仿宋_GB2312" w:hAnsi="宋体" w:eastAsia="仿宋_GB2312"/>
          <w:sz w:val="24"/>
        </w:rPr>
        <w:t>将此表发送至邮箱：</w:t>
      </w:r>
      <w:r>
        <w:rPr>
          <w:rFonts w:hint="eastAsia" w:ascii="仿宋_GB2312" w:eastAsia="仿宋_GB2312"/>
          <w:color w:val="000000"/>
          <w:kern w:val="0"/>
          <w:sz w:val="24"/>
          <w:lang w:bidi="ar"/>
        </w:rPr>
        <w:t>sdjnds01@126.com</w:t>
      </w:r>
      <w:r>
        <w:rPr>
          <w:rFonts w:hint="eastAsia" w:ascii="仿宋_GB2312" w:hAnsi="宋体" w:eastAsia="仿宋_GB2312" w:cs="宋体"/>
          <w:sz w:val="24"/>
        </w:rPr>
        <w:t>。</w:t>
      </w:r>
    </w:p>
    <w:p w14:paraId="2CE99BD8"/>
    <w:p w14:paraId="3463BD80"/>
    <w:sectPr>
      <w:footerReference r:id="rId3" w:type="default"/>
      <w:footerReference r:id="rId4" w:type="even"/>
      <w:pgSz w:w="11906" w:h="16838"/>
      <w:pgMar w:top="1587" w:right="1417" w:bottom="1417" w:left="1418"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5EDD243-D9BB-4D41-B5C2-C765CF165055}"/>
  </w:font>
  <w:font w:name="宋体">
    <w:panose1 w:val="02010600030101010101"/>
    <w:charset w:val="86"/>
    <w:family w:val="auto"/>
    <w:pitch w:val="default"/>
    <w:sig w:usb0="00000203" w:usb1="288F0000" w:usb2="00000006" w:usb3="00000000" w:csb0="00040001" w:csb1="00000000"/>
    <w:embedRegular r:id="rId2" w:fontKey="{A7274724-9612-4499-8B24-29F47726FE08}"/>
  </w:font>
  <w:font w:name="Wingdings">
    <w:panose1 w:val="05000000000000000000"/>
    <w:charset w:val="02"/>
    <w:family w:val="auto"/>
    <w:pitch w:val="default"/>
    <w:sig w:usb0="00000000" w:usb1="00000000" w:usb2="00000000" w:usb3="00000000" w:csb0="80000000" w:csb1="00000000"/>
    <w:embedRegular r:id="rId3" w:fontKey="{81FB4F26-C62E-4EBB-9491-A642D513C73A}"/>
  </w:font>
  <w:font w:name="Arial">
    <w:panose1 w:val="020B0604020202020204"/>
    <w:charset w:val="01"/>
    <w:family w:val="swiss"/>
    <w:pitch w:val="default"/>
    <w:sig w:usb0="E0002EFF" w:usb1="C000785B" w:usb2="00000009" w:usb3="00000000" w:csb0="400001FF" w:csb1="FFFF0000"/>
    <w:embedRegular r:id="rId4" w:fontKey="{2A12EB0B-90A1-4475-96B7-5721B84303C1}"/>
  </w:font>
  <w:font w:name="黑体">
    <w:panose1 w:val="02010609060101010101"/>
    <w:charset w:val="86"/>
    <w:family w:val="auto"/>
    <w:pitch w:val="default"/>
    <w:sig w:usb0="800002BF" w:usb1="38CF7CFA" w:usb2="00000016" w:usb3="00000000" w:csb0="00040001" w:csb1="00000000"/>
    <w:embedRegular r:id="rId5" w:fontKey="{4E75CDB3-B888-4B4C-8DCB-C6FB11833721}"/>
  </w:font>
  <w:font w:name="Courier New">
    <w:panose1 w:val="02070309020205020404"/>
    <w:charset w:val="01"/>
    <w:family w:val="modern"/>
    <w:pitch w:val="default"/>
    <w:sig w:usb0="E0002EFF" w:usb1="C0007843" w:usb2="00000009" w:usb3="00000000" w:csb0="400001FF" w:csb1="FFFF0000"/>
    <w:embedRegular r:id="rId6" w:fontKey="{6C444CA7-6B38-48C3-8CC4-AFB838F6881C}"/>
  </w:font>
  <w:font w:name="Symbol">
    <w:panose1 w:val="05050102010706020507"/>
    <w:charset w:val="02"/>
    <w:family w:val="roman"/>
    <w:pitch w:val="default"/>
    <w:sig w:usb0="00000000" w:usb1="00000000" w:usb2="00000000" w:usb3="00000000" w:csb0="80000000" w:csb1="00000000"/>
    <w:embedRegular r:id="rId7" w:fontKey="{0D21A187-93C2-4345-8B51-6162574630D2}"/>
  </w:font>
  <w:font w:name="Calibri">
    <w:panose1 w:val="020F0502020204030204"/>
    <w:charset w:val="00"/>
    <w:family w:val="swiss"/>
    <w:pitch w:val="default"/>
    <w:sig w:usb0="E4002EFF" w:usb1="C200247B" w:usb2="00000009" w:usb3="00000000" w:csb0="200001FF" w:csb1="00000000"/>
    <w:embedRegular r:id="rId8" w:fontKey="{8FF88E41-BAF0-43D6-B487-415AA3C48961}"/>
  </w:font>
  <w:font w:name="楷体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9" w:fontKey="{FB1CB76C-50F5-432A-98B6-9FD605F97ED4}"/>
  </w:font>
  <w:font w:name="方正小标宋简体">
    <w:panose1 w:val="03000509000000000000"/>
    <w:charset w:val="86"/>
    <w:family w:val="auto"/>
    <w:pitch w:val="default"/>
    <w:sig w:usb0="00000001" w:usb1="080E0000" w:usb2="00000000" w:usb3="00000000" w:csb0="00040000" w:csb1="00000000"/>
    <w:embedRegular r:id="rId10" w:fontKey="{B2C34D6B-1D05-49AC-880C-896702C43EC4}"/>
  </w:font>
  <w:font w:name="楷体">
    <w:panose1 w:val="02010609060101010101"/>
    <w:charset w:val="86"/>
    <w:family w:val="modern"/>
    <w:pitch w:val="default"/>
    <w:sig w:usb0="800002BF" w:usb1="38CF7CFA" w:usb2="00000016" w:usb3="00000000" w:csb0="00040001" w:csb1="00000000"/>
    <w:embedRegular r:id="rId11" w:fontKey="{E130A676-A36D-4799-AA1C-1659D9304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D00F5">
    <w:pPr>
      <w:pStyle w:val="3"/>
      <w:jc w:val="right"/>
      <w:rPr>
        <w:rFonts w:hint="eastAsia"/>
        <w:sz w:val="28"/>
        <w:szCs w:val="28"/>
      </w:rPr>
    </w:pPr>
    <w:r>
      <mc:AlternateContent>
        <mc:Choice Requires="wps">
          <w:drawing>
            <wp:anchor distT="0" distB="0" distL="114300" distR="114300" simplePos="0" relativeHeight="251663360" behindDoc="0" locked="0" layoutInCell="1" allowOverlap="1">
              <wp:simplePos x="0" y="0"/>
              <wp:positionH relativeFrom="column">
                <wp:posOffset>3747770</wp:posOffset>
              </wp:positionH>
              <wp:positionV relativeFrom="paragraph">
                <wp:posOffset>19685</wp:posOffset>
              </wp:positionV>
              <wp:extent cx="975360" cy="388620"/>
              <wp:effectExtent l="4445" t="4445" r="10795" b="13335"/>
              <wp:wrapNone/>
              <wp:docPr id="5" name="矩形 5"/>
              <wp:cNvGraphicFramePr/>
              <a:graphic xmlns:a="http://schemas.openxmlformats.org/drawingml/2006/main">
                <a:graphicData uri="http://schemas.microsoft.com/office/word/2010/wordprocessingShape">
                  <wps:wsp>
                    <wps:cNvSpPr/>
                    <wps:spPr>
                      <a:xfrm>
                        <a:off x="0" y="0"/>
                        <a:ext cx="975360" cy="388620"/>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295.1pt;margin-top:1.55pt;height:30.6pt;width:76.8pt;z-index:251663360;mso-width-relative:page;mso-height-relative:page;" fillcolor="#FFFFFF" filled="t" stroked="t" coordsize="21600,21600" o:gfxdata="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3gVEtYAAAAIAQAADwAAAAAAAAABACAAAAAiAAAAZHJzL2Rvd25yZXYueG1sUEsB&#10;AhQAFAAAAAgAh07iQFp/6lD3AQAAHQQAAA4AAAAAAAAAAQAgAAAAJQEAAGRycy9lMm9Eb2MueG1s&#10;UEsFBgAAAAAGAAYAWQEAAI4FAAAAAA==&#10;">
              <v:fill on="t" focussize="0,0"/>
              <v:stroke color="#FFFFFF" joinstyle="miter"/>
              <v:imagedata o:title=""/>
              <o:lock v:ext="edit" aspectratio="f"/>
            </v:rect>
          </w:pict>
        </mc:Fallback>
      </mc:AlternateContent>
    </w:r>
    <w:sdt>
      <w:sdtPr>
        <w:id w:val="1359624448"/>
        <w:docPartObj>
          <w:docPartGallery w:val="AutoText"/>
        </w:docPartObj>
      </w:sdtPr>
      <w:sdtEndPr>
        <w:rPr>
          <w:sz w:val="28"/>
          <w:szCs w:val="28"/>
        </w:rPr>
      </w:sdtEndPr>
      <w:sdtContent>
        <w:r>
          <mc:AlternateContent>
            <mc:Choice Requires="wps">
              <w:drawing>
                <wp:anchor distT="0" distB="0" distL="114300" distR="114300" simplePos="0" relativeHeight="251661312" behindDoc="0" locked="0" layoutInCell="1" allowOverlap="1">
                  <wp:simplePos x="0" y="0"/>
                  <wp:positionH relativeFrom="column">
                    <wp:posOffset>4140835</wp:posOffset>
                  </wp:positionH>
                  <wp:positionV relativeFrom="paragraph">
                    <wp:posOffset>9930765</wp:posOffset>
                  </wp:positionV>
                  <wp:extent cx="793750" cy="317500"/>
                  <wp:effectExtent l="0" t="0" r="6350" b="0"/>
                  <wp:wrapNone/>
                  <wp:docPr id="3" name="矩形 3"/>
                  <wp:cNvGraphicFramePr/>
                  <a:graphic xmlns:a="http://schemas.openxmlformats.org/drawingml/2006/main">
                    <a:graphicData uri="http://schemas.microsoft.com/office/word/2010/wordprocessingShape">
                      <wps:wsp>
                        <wps:cNvSpPr/>
                        <wps:spPr>
                          <a:xfrm>
                            <a:off x="0" y="0"/>
                            <a:ext cx="793750" cy="317500"/>
                          </a:xfrm>
                          <a:prstGeom prst="rect">
                            <a:avLst/>
                          </a:prstGeom>
                          <a:solidFill>
                            <a:srgbClr val="FFFFFF"/>
                          </a:solidFill>
                          <a:ln w="25400">
                            <a:noFill/>
                          </a:ln>
                        </wps:spPr>
                        <wps:bodyPr wrap="square" anchor="ctr" anchorCtr="0" upright="1"/>
                      </wps:wsp>
                    </a:graphicData>
                  </a:graphic>
                </wp:anchor>
              </w:drawing>
            </mc:Choice>
            <mc:Fallback>
              <w:pict>
                <v:rect id="_x0000_s1026" o:spid="_x0000_s1026" o:spt="1" style="position:absolute;left:0pt;margin-left:326.05pt;margin-top:781.95pt;height:25pt;width:62.5pt;z-index:251661312;v-text-anchor:middle;mso-width-relative:page;mso-height-relative:page;"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">
                  <v:fill on="t" focussize="0,0"/>
                  <v:stroke on="f" weight="2pt"/>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4140835</wp:posOffset>
                  </wp:positionH>
                  <wp:positionV relativeFrom="paragraph">
                    <wp:posOffset>9930765</wp:posOffset>
                  </wp:positionV>
                  <wp:extent cx="793750" cy="317500"/>
                  <wp:effectExtent l="0" t="0" r="6350" b="0"/>
                  <wp:wrapNone/>
                  <wp:docPr id="2" name="矩形 2"/>
                  <wp:cNvGraphicFramePr/>
                  <a:graphic xmlns:a="http://schemas.openxmlformats.org/drawingml/2006/main">
                    <a:graphicData uri="http://schemas.microsoft.com/office/word/2010/wordprocessingShape">
                      <wps:wsp>
                        <wps:cNvSpPr/>
                        <wps:spPr>
                          <a:xfrm>
                            <a:off x="0" y="0"/>
                            <a:ext cx="793750" cy="317500"/>
                          </a:xfrm>
                          <a:prstGeom prst="rect">
                            <a:avLst/>
                          </a:prstGeom>
                          <a:solidFill>
                            <a:srgbClr val="FFFFFF"/>
                          </a:solidFill>
                          <a:ln w="25400">
                            <a:noFill/>
                          </a:ln>
                        </wps:spPr>
                        <wps:bodyPr wrap="square" anchor="ctr" anchorCtr="0" upright="1"/>
                      </wps:wsp>
                    </a:graphicData>
                  </a:graphic>
                </wp:anchor>
              </w:drawing>
            </mc:Choice>
            <mc:Fallback>
              <w:pict>
                <v:rect id="_x0000_s1026" o:spid="_x0000_s1026" o:spt="1" style="position:absolute;left:0pt;margin-left:326.05pt;margin-top:781.95pt;height:25pt;width:62.5pt;z-index:251660288;v-text-anchor:middle;mso-width-relative:page;mso-height-relative:page;"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">
                  <v:fill on="t" focussize="0,0"/>
                  <v:stroke on="f" weight="2pt"/>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5771515</wp:posOffset>
                  </wp:positionH>
                  <wp:positionV relativeFrom="paragraph">
                    <wp:posOffset>9504045</wp:posOffset>
                  </wp:positionV>
                  <wp:extent cx="793750" cy="317500"/>
                  <wp:effectExtent l="0" t="0" r="6350" b="0"/>
                  <wp:wrapNone/>
                  <wp:docPr id="1" name="矩形 5"/>
                  <wp:cNvGraphicFramePr/>
                  <a:graphic xmlns:a="http://schemas.openxmlformats.org/drawingml/2006/main">
                    <a:graphicData uri="http://schemas.microsoft.com/office/word/2010/wordprocessingShape">
                      <wps:wsp>
                        <wps:cNvSpPr/>
                        <wps:spPr>
                          <a:xfrm>
                            <a:off x="0" y="0"/>
                            <a:ext cx="793750" cy="317500"/>
                          </a:xfrm>
                          <a:prstGeom prst="rect">
                            <a:avLst/>
                          </a:prstGeom>
                          <a:solidFill>
                            <a:srgbClr val="FFFFFF"/>
                          </a:solidFill>
                          <a:ln w="25400">
                            <a:noFill/>
                          </a:ln>
                        </wps:spPr>
                        <wps:bodyPr wrap="square" anchor="ctr" anchorCtr="0" upright="1"/>
                      </wps:wsp>
                    </a:graphicData>
                  </a:graphic>
                </wp:anchor>
              </w:drawing>
            </mc:Choice>
            <mc:Fallback>
              <w:pict>
                <v:rect id="矩形 5" o:spid="_x0000_s1026" o:spt="1" style="position:absolute;left:0pt;margin-left:454.45pt;margin-top:748.35pt;height:25pt;width:62.5pt;z-index:251659264;v-text-anchor:middle;mso-width-relative:page;mso-height-relative:page;"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">
                  <v:fill on="t" focussize="0,0"/>
                  <v:stroke on="f" weight="2pt"/>
                  <v:imagedata o:title=""/>
                  <o:lock v:ext="edit" aspectratio="f"/>
                </v:rect>
              </w:pict>
            </mc:Fallback>
          </mc:AlternateConten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sdtContent>
    </w:sdt>
    <w:r>
      <mc:AlternateContent>
        <mc:Choice Requires="wps">
          <w:drawing>
            <wp:anchor distT="0" distB="0" distL="114300" distR="114300" simplePos="0" relativeHeight="251662336" behindDoc="0" locked="0" layoutInCell="1" allowOverlap="1">
              <wp:simplePos x="0" y="0"/>
              <wp:positionH relativeFrom="column">
                <wp:posOffset>4140835</wp:posOffset>
              </wp:positionH>
              <wp:positionV relativeFrom="paragraph">
                <wp:posOffset>9930765</wp:posOffset>
              </wp:positionV>
              <wp:extent cx="793750" cy="317500"/>
              <wp:effectExtent l="0" t="0" r="6350" b="0"/>
              <wp:wrapNone/>
              <wp:docPr id="4" name="矩形 4"/>
              <wp:cNvGraphicFramePr/>
              <a:graphic xmlns:a="http://schemas.openxmlformats.org/drawingml/2006/main">
                <a:graphicData uri="http://schemas.microsoft.com/office/word/2010/wordprocessingShape">
                  <wps:wsp>
                    <wps:cNvSpPr/>
                    <wps:spPr>
                      <a:xfrm>
                        <a:off x="0" y="0"/>
                        <a:ext cx="793750" cy="317500"/>
                      </a:xfrm>
                      <a:prstGeom prst="rect">
                        <a:avLst/>
                      </a:prstGeom>
                      <a:solidFill>
                        <a:srgbClr val="FFFFFF"/>
                      </a:solidFill>
                      <a:ln w="25400">
                        <a:noFill/>
                      </a:ln>
                    </wps:spPr>
                    <wps:bodyPr wrap="square" anchor="ctr" anchorCtr="0" upright="1"/>
                  </wps:wsp>
                </a:graphicData>
              </a:graphic>
            </wp:anchor>
          </w:drawing>
        </mc:Choice>
        <mc:Fallback>
          <w:pict>
            <v:rect id="_x0000_s1026" o:spid="_x0000_s1026" o:spt="1" style="position:absolute;left:0pt;margin-left:326.05pt;margin-top:781.95pt;height:25pt;width:62.5pt;z-index:251662336;v-text-anchor:middle;mso-width-relative:page;mso-height-relative:page;" fillcolor="#FFFFFF"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">
              <v:fill on="t" focussize="0,0"/>
              <v:stroke on="f" weight="2pt"/>
              <v:imagedata o:title=""/>
              <o:lock v:ext="edit" aspectratio="f"/>
            </v:rect>
          </w:pict>
        </mc:Fallback>
      </mc:AlternateContent>
    </w:r>
  </w:p>
  <w:p w14:paraId="11585392">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6422729"/>
      <w:docPartObj>
        <w:docPartGallery w:val="AutoText"/>
      </w:docPartObj>
    </w:sdtPr>
    <w:sdtEndPr>
      <w:rPr>
        <w:sz w:val="28"/>
        <w:szCs w:val="28"/>
      </w:rPr>
    </w:sdtEndPr>
    <w:sdtContent>
      <w:p w14:paraId="4C3D4046">
        <w:pPr>
          <w:pStyle w:val="3"/>
          <w:rPr>
            <w:rFonts w:hint="eastAsia"/>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p w14:paraId="3E5DDEC8">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1"/>
  <w:bordersDoNotSurroundFooter w:val="1"/>
  <w:doNotTrackMoves/>
  <w:documentProtection w:enforcement="0"/>
  <w:defaultTabStop w:val="420"/>
  <w:doNotHyphenateCaps/>
  <w:evenAndOddHeaders w:val="1"/>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4MjVmZGI4YTg0MWJhZWYzZDA2YTcxY2RmZmMyNmEifQ=="/>
  </w:docVars>
  <w:rsids>
    <w:rsidRoot w:val="006232FD"/>
    <w:rsid w:val="0002370A"/>
    <w:rsid w:val="00040985"/>
    <w:rsid w:val="00051C79"/>
    <w:rsid w:val="0005671F"/>
    <w:rsid w:val="00057B43"/>
    <w:rsid w:val="0006034B"/>
    <w:rsid w:val="0006583F"/>
    <w:rsid w:val="00071144"/>
    <w:rsid w:val="000761F4"/>
    <w:rsid w:val="000B3B1F"/>
    <w:rsid w:val="000E4B74"/>
    <w:rsid w:val="000E58AF"/>
    <w:rsid w:val="000F1220"/>
    <w:rsid w:val="000F3119"/>
    <w:rsid w:val="000F6593"/>
    <w:rsid w:val="001008FF"/>
    <w:rsid w:val="001167E6"/>
    <w:rsid w:val="0012404C"/>
    <w:rsid w:val="001348C3"/>
    <w:rsid w:val="00140362"/>
    <w:rsid w:val="00150D5E"/>
    <w:rsid w:val="0015314B"/>
    <w:rsid w:val="00166689"/>
    <w:rsid w:val="00195758"/>
    <w:rsid w:val="001969D6"/>
    <w:rsid w:val="001A1BE0"/>
    <w:rsid w:val="001B5108"/>
    <w:rsid w:val="002320C8"/>
    <w:rsid w:val="002346B7"/>
    <w:rsid w:val="002649DA"/>
    <w:rsid w:val="002671EF"/>
    <w:rsid w:val="00272C7F"/>
    <w:rsid w:val="00286D80"/>
    <w:rsid w:val="002908DC"/>
    <w:rsid w:val="00293A32"/>
    <w:rsid w:val="00295B25"/>
    <w:rsid w:val="002A68A8"/>
    <w:rsid w:val="002B7368"/>
    <w:rsid w:val="002D01ED"/>
    <w:rsid w:val="00300B5D"/>
    <w:rsid w:val="0034599E"/>
    <w:rsid w:val="003547D9"/>
    <w:rsid w:val="00374B67"/>
    <w:rsid w:val="00382B36"/>
    <w:rsid w:val="003852C3"/>
    <w:rsid w:val="00392272"/>
    <w:rsid w:val="003A4AB5"/>
    <w:rsid w:val="003A7600"/>
    <w:rsid w:val="003B0FAA"/>
    <w:rsid w:val="003C1253"/>
    <w:rsid w:val="003C5825"/>
    <w:rsid w:val="003C6B09"/>
    <w:rsid w:val="003D1994"/>
    <w:rsid w:val="003F11BF"/>
    <w:rsid w:val="00433A3B"/>
    <w:rsid w:val="00437101"/>
    <w:rsid w:val="004425DB"/>
    <w:rsid w:val="004909C0"/>
    <w:rsid w:val="004A34C5"/>
    <w:rsid w:val="004B6B62"/>
    <w:rsid w:val="004C2FD9"/>
    <w:rsid w:val="004F0FD1"/>
    <w:rsid w:val="00507172"/>
    <w:rsid w:val="00510526"/>
    <w:rsid w:val="00526FCA"/>
    <w:rsid w:val="00535B2A"/>
    <w:rsid w:val="005373D1"/>
    <w:rsid w:val="00543774"/>
    <w:rsid w:val="00545943"/>
    <w:rsid w:val="005615D5"/>
    <w:rsid w:val="0057035F"/>
    <w:rsid w:val="005762F1"/>
    <w:rsid w:val="0057644B"/>
    <w:rsid w:val="0058278F"/>
    <w:rsid w:val="005A3C40"/>
    <w:rsid w:val="005B1FA4"/>
    <w:rsid w:val="005B7364"/>
    <w:rsid w:val="005D130A"/>
    <w:rsid w:val="005E2B07"/>
    <w:rsid w:val="00611567"/>
    <w:rsid w:val="00616219"/>
    <w:rsid w:val="006232FD"/>
    <w:rsid w:val="006313F1"/>
    <w:rsid w:val="006313F3"/>
    <w:rsid w:val="00654B93"/>
    <w:rsid w:val="0066058D"/>
    <w:rsid w:val="00660F21"/>
    <w:rsid w:val="00661227"/>
    <w:rsid w:val="00676D1E"/>
    <w:rsid w:val="006A09C6"/>
    <w:rsid w:val="006B4CDF"/>
    <w:rsid w:val="006C350D"/>
    <w:rsid w:val="006F3051"/>
    <w:rsid w:val="006F4D93"/>
    <w:rsid w:val="006F7A4D"/>
    <w:rsid w:val="007104F7"/>
    <w:rsid w:val="00712235"/>
    <w:rsid w:val="0072062E"/>
    <w:rsid w:val="00733EBA"/>
    <w:rsid w:val="00761218"/>
    <w:rsid w:val="0077418B"/>
    <w:rsid w:val="007753CC"/>
    <w:rsid w:val="00775B2A"/>
    <w:rsid w:val="00776097"/>
    <w:rsid w:val="007A1852"/>
    <w:rsid w:val="007A44F5"/>
    <w:rsid w:val="007B3772"/>
    <w:rsid w:val="007C62D7"/>
    <w:rsid w:val="00806664"/>
    <w:rsid w:val="00821BB6"/>
    <w:rsid w:val="00835CAD"/>
    <w:rsid w:val="00850F12"/>
    <w:rsid w:val="00862359"/>
    <w:rsid w:val="008D0F93"/>
    <w:rsid w:val="008D7EE4"/>
    <w:rsid w:val="008E58B7"/>
    <w:rsid w:val="008E5C87"/>
    <w:rsid w:val="008F4A17"/>
    <w:rsid w:val="00916D5F"/>
    <w:rsid w:val="00916E36"/>
    <w:rsid w:val="00916E37"/>
    <w:rsid w:val="009223DA"/>
    <w:rsid w:val="009430D1"/>
    <w:rsid w:val="00946649"/>
    <w:rsid w:val="00950F2E"/>
    <w:rsid w:val="00960EEF"/>
    <w:rsid w:val="0096396D"/>
    <w:rsid w:val="00971758"/>
    <w:rsid w:val="00973543"/>
    <w:rsid w:val="00983B88"/>
    <w:rsid w:val="009D1EFA"/>
    <w:rsid w:val="009D7A90"/>
    <w:rsid w:val="009E375A"/>
    <w:rsid w:val="009F331C"/>
    <w:rsid w:val="00A02C07"/>
    <w:rsid w:val="00A21247"/>
    <w:rsid w:val="00A22335"/>
    <w:rsid w:val="00A25AF3"/>
    <w:rsid w:val="00A37512"/>
    <w:rsid w:val="00A516D3"/>
    <w:rsid w:val="00A55F45"/>
    <w:rsid w:val="00A663BE"/>
    <w:rsid w:val="00A72000"/>
    <w:rsid w:val="00A7496F"/>
    <w:rsid w:val="00AA1C99"/>
    <w:rsid w:val="00AA5446"/>
    <w:rsid w:val="00AB220F"/>
    <w:rsid w:val="00AE27F4"/>
    <w:rsid w:val="00AE79EA"/>
    <w:rsid w:val="00AF3D3A"/>
    <w:rsid w:val="00B03E3C"/>
    <w:rsid w:val="00B374A1"/>
    <w:rsid w:val="00B377E6"/>
    <w:rsid w:val="00B5125F"/>
    <w:rsid w:val="00B53C5D"/>
    <w:rsid w:val="00B72938"/>
    <w:rsid w:val="00B76A46"/>
    <w:rsid w:val="00B81168"/>
    <w:rsid w:val="00BA4A8A"/>
    <w:rsid w:val="00BC44F4"/>
    <w:rsid w:val="00BE0649"/>
    <w:rsid w:val="00BF3E44"/>
    <w:rsid w:val="00BF5F7B"/>
    <w:rsid w:val="00C1705A"/>
    <w:rsid w:val="00C242C8"/>
    <w:rsid w:val="00C24BEF"/>
    <w:rsid w:val="00C26DB8"/>
    <w:rsid w:val="00C37C2F"/>
    <w:rsid w:val="00C571FF"/>
    <w:rsid w:val="00C84177"/>
    <w:rsid w:val="00C858AE"/>
    <w:rsid w:val="00C8640C"/>
    <w:rsid w:val="00CC12F0"/>
    <w:rsid w:val="00CD5CB0"/>
    <w:rsid w:val="00CF0973"/>
    <w:rsid w:val="00D6400C"/>
    <w:rsid w:val="00D7281C"/>
    <w:rsid w:val="00DA4C52"/>
    <w:rsid w:val="00DC113A"/>
    <w:rsid w:val="00DC5681"/>
    <w:rsid w:val="00DD54A5"/>
    <w:rsid w:val="00DE0DE1"/>
    <w:rsid w:val="00DE4117"/>
    <w:rsid w:val="00E07319"/>
    <w:rsid w:val="00E140E0"/>
    <w:rsid w:val="00E34BCB"/>
    <w:rsid w:val="00E62C34"/>
    <w:rsid w:val="00E76E32"/>
    <w:rsid w:val="00E92513"/>
    <w:rsid w:val="00EB14C8"/>
    <w:rsid w:val="00EB4EB6"/>
    <w:rsid w:val="00ED2364"/>
    <w:rsid w:val="00ED5578"/>
    <w:rsid w:val="00EF1F15"/>
    <w:rsid w:val="00EF47F2"/>
    <w:rsid w:val="00F219A6"/>
    <w:rsid w:val="00F43B33"/>
    <w:rsid w:val="00F47D9E"/>
    <w:rsid w:val="00F548E2"/>
    <w:rsid w:val="00F90BD2"/>
    <w:rsid w:val="00FB1D25"/>
    <w:rsid w:val="00FC2F15"/>
    <w:rsid w:val="00FD4811"/>
    <w:rsid w:val="00FE7363"/>
    <w:rsid w:val="00FF02FA"/>
    <w:rsid w:val="00FF4B95"/>
    <w:rsid w:val="0D3A18A1"/>
    <w:rsid w:val="12861E0E"/>
    <w:rsid w:val="152B2C8C"/>
    <w:rsid w:val="19C87AAF"/>
    <w:rsid w:val="1CDA68E4"/>
    <w:rsid w:val="2947243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3"/>
    <w:basedOn w:val="1"/>
    <w:next w:val="1"/>
    <w:link w:val="8"/>
    <w:qFormat/>
    <w:locked/>
    <w:uiPriority w:val="99"/>
    <w:pPr>
      <w:keepNext/>
      <w:keepLines/>
      <w:spacing w:before="260" w:after="260" w:line="413" w:lineRule="auto"/>
      <w:outlineLvl w:val="2"/>
    </w:pPr>
    <w:rPr>
      <w:b/>
      <w:bCs/>
      <w:kern w:val="0"/>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3">
    <w:name w:val="footer"/>
    <w:basedOn w:val="1"/>
    <w:link w:val="10"/>
    <w:qFormat/>
    <w:uiPriority w:val="99"/>
    <w:pPr>
      <w:tabs>
        <w:tab w:val="center" w:pos="4153"/>
        <w:tab w:val="right" w:pos="8306"/>
      </w:tabs>
      <w:snapToGrid w:val="0"/>
      <w:jc w:val="left"/>
    </w:pPr>
    <w:rPr>
      <w:kern w:val="0"/>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kern w:val="0"/>
      <w:sz w:val="18"/>
      <w:szCs w:val="18"/>
    </w:rPr>
  </w:style>
  <w:style w:type="character" w:styleId="7">
    <w:name w:val="Hyperlink"/>
    <w:qFormat/>
    <w:uiPriority w:val="99"/>
    <w:rPr>
      <w:color w:val="0000FF"/>
      <w:u w:val="single"/>
    </w:rPr>
  </w:style>
  <w:style w:type="character" w:customStyle="1" w:styleId="8">
    <w:name w:val="标题 3 字符"/>
    <w:link w:val="2"/>
    <w:qFormat/>
    <w:locked/>
    <w:uiPriority w:val="99"/>
    <w:rPr>
      <w:rFonts w:ascii="Times New Roman" w:hAnsi="Times New Roman" w:cs="Times New Roman"/>
      <w:b/>
      <w:bCs/>
      <w:sz w:val="21"/>
      <w:szCs w:val="21"/>
    </w:rPr>
  </w:style>
  <w:style w:type="character" w:customStyle="1" w:styleId="9">
    <w:name w:val="页眉 字符"/>
    <w:link w:val="4"/>
    <w:qFormat/>
    <w:locked/>
    <w:uiPriority w:val="99"/>
    <w:rPr>
      <w:rFonts w:ascii="Times New Roman" w:hAnsi="Times New Roman" w:eastAsia="宋体" w:cs="Times New Roman"/>
      <w:sz w:val="18"/>
      <w:szCs w:val="18"/>
    </w:rPr>
  </w:style>
  <w:style w:type="character" w:customStyle="1" w:styleId="10">
    <w:name w:val="页脚 字符"/>
    <w:link w:val="3"/>
    <w:qFormat/>
    <w:locked/>
    <w:uiPriority w:val="99"/>
    <w:rPr>
      <w:rFonts w:ascii="Times New Roman" w:hAnsi="Times New Roman" w:eastAsia="宋体" w:cs="Times New Roman"/>
      <w:sz w:val="18"/>
      <w:szCs w:val="18"/>
    </w:rPr>
  </w:style>
  <w:style w:type="character" w:customStyle="1" w:styleId="11">
    <w:name w:val="font51"/>
    <w:qFormat/>
    <w:uiPriority w:val="99"/>
    <w:rPr>
      <w:rFonts w:ascii="楷体_GB2312" w:eastAsia="楷体_GB2312" w:cs="楷体_GB2312"/>
      <w:color w:val="FF0000"/>
      <w:sz w:val="20"/>
      <w:szCs w:val="20"/>
      <w:u w:val="none"/>
    </w:rPr>
  </w:style>
  <w:style w:type="paragraph" w:customStyle="1" w:styleId="12">
    <w:name w:val="Defaul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
    <w:name w:val="修订1"/>
    <w:hidden/>
    <w:unhideWhenUsed/>
    <w:uiPriority w:val="99"/>
    <w:rPr>
      <w:rFonts w:ascii="Times New Roman" w:hAnsi="Times New Roman" w:eastAsia="宋体" w:cs="Times New Roman"/>
      <w:kern w:val="2"/>
      <w:sz w:val="21"/>
      <w:szCs w:val="21"/>
      <w:lang w:val="en-US" w:eastAsia="zh-CN" w:bidi="ar-SA"/>
    </w:rPr>
  </w:style>
  <w:style w:type="paragraph" w:customStyle="1" w:styleId="14">
    <w:name w:val="Revision"/>
    <w:hidden/>
    <w:unhideWhenUsed/>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498</Words>
  <Characters>513</Characters>
  <Lines>75</Lines>
  <Paragraphs>21</Paragraphs>
  <TotalTime>300</TotalTime>
  <ScaleCrop>false</ScaleCrop>
  <LinksUpToDate>false</LinksUpToDate>
  <CharactersWithSpaces>513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2018-08-16T02:19:00Z</dcterms:created>
  <dc:creator>dx</dc:creator>
  <cp:lastModifiedBy>LI</cp:lastModifiedBy>
  <cp:lastPrinted>2024-11-01T09:43:00Z</cp:lastPrinted>
  <dcterms:modified xsi:type="dcterms:W3CDTF">2024-11-01T11:11:43Z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CDDD489A4DEE4959978AC230880CF22B_13</vt:lpwstr>
  </property>
</Properties>
</file>