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0"/>
        <w:textAlignment w:val="auto"/>
        <w:rPr>
          <w:rFonts w:hint="eastAsia" w:ascii="仿宋_GB2312" w:hAnsi="仿宋_GB2312" w:eastAsia="仿宋_GB2312" w:cs="仿宋_GB2312"/>
          <w:b/>
          <w:bCs/>
          <w:spacing w:val="6"/>
          <w:sz w:val="32"/>
          <w:szCs w:val="32"/>
          <w:lang w:val="en-US" w:eastAsia="zh-CN"/>
        </w:rPr>
      </w:pPr>
      <w:bookmarkStart w:id="23" w:name="_GoBack"/>
      <w:r>
        <w:rPr>
          <w:rFonts w:hint="eastAsia" w:ascii="黑体" w:hAnsi="黑体" w:eastAsia="黑体" w:cs="黑体"/>
          <w:b w:val="0"/>
          <w:bCs w:val="0"/>
          <w:spacing w:val="6"/>
          <w:sz w:val="32"/>
          <w:szCs w:val="32"/>
          <w:lang w:val="en-US" w:eastAsia="zh-CN"/>
        </w:rPr>
        <w:t>附件2</w:t>
      </w:r>
      <w:r>
        <w:rPr>
          <w:rFonts w:hint="eastAsia" w:ascii="仿宋_GB2312" w:hAnsi="仿宋_GB2312" w:eastAsia="仿宋_GB2312" w:cs="仿宋_GB2312"/>
          <w:b/>
          <w:bCs/>
          <w:spacing w:val="6"/>
          <w:sz w:val="32"/>
          <w:szCs w:val="32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0"/>
        <w:jc w:val="center"/>
        <w:textAlignment w:val="auto"/>
        <w:rPr>
          <w:rFonts w:hint="eastAsia" w:ascii="方正小标宋简体" w:hAnsi="微软雅黑" w:eastAsia="方正小标宋简体" w:cs="Courier New"/>
          <w:kern w:val="2"/>
          <w:sz w:val="36"/>
          <w:szCs w:val="36"/>
          <w:lang w:val="en-US" w:eastAsia="zh-CN" w:bidi="ar-SA"/>
        </w:rPr>
      </w:pPr>
      <w:r>
        <w:rPr>
          <w:rFonts w:hint="eastAsia" w:ascii="方正小标宋简体" w:hAnsi="微软雅黑" w:eastAsia="方正小标宋简体" w:cs="Courier New"/>
          <w:kern w:val="2"/>
          <w:sz w:val="36"/>
          <w:szCs w:val="36"/>
          <w:lang w:val="en-US" w:eastAsia="zh-CN" w:bidi="ar-SA"/>
        </w:rPr>
        <w:t>标题、正文、案例、图表格式样式</w:t>
      </w:r>
      <w:bookmarkEnd w:id="23"/>
    </w:p>
    <w:p>
      <w:pPr>
        <w:pStyle w:val="17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楷体_GB2312" w:hAnsi="楷体_GB2312" w:eastAsia="楷体_GB2312" w:cs="楷体_GB2312"/>
          <w:color w:val="0000FF"/>
          <w:sz w:val="32"/>
          <w:szCs w:val="32"/>
          <w:lang w:val="en-US" w:eastAsia="zh-CN"/>
        </w:rPr>
      </w:pPr>
      <w:bookmarkStart w:id="0" w:name="_Toc29354"/>
      <w:bookmarkStart w:id="1" w:name="_Toc14069"/>
      <w:bookmarkStart w:id="2" w:name="_Toc13290"/>
      <w:bookmarkStart w:id="3" w:name="_Toc30056"/>
      <w:bookmarkStart w:id="4" w:name="_Toc9621"/>
      <w:bookmarkStart w:id="5" w:name="_Toc594"/>
      <w:bookmarkStart w:id="6" w:name="_Toc21473"/>
      <w:bookmarkStart w:id="7" w:name="_Toc25304"/>
      <w:bookmarkStart w:id="8" w:name="_Toc7564"/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1.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专业建设</w:t>
      </w:r>
      <w:r>
        <w:rPr>
          <w:rFonts w:hint="eastAsia" w:ascii="楷体_GB2312" w:hAnsi="楷体_GB2312" w:eastAsia="楷体_GB2312" w:cs="楷体_GB2312"/>
          <w:color w:val="0000FF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0000FF"/>
          <w:sz w:val="32"/>
          <w:szCs w:val="32"/>
          <w:lang w:val="en-US" w:eastAsia="zh-CN"/>
        </w:rPr>
        <w:t>楷体_GB2312 三号，段前后间距为0，行距固定值28）</w:t>
      </w:r>
    </w:p>
    <w:p>
      <w:pPr>
        <w:pStyle w:val="17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default" w:ascii="仿宋_GB2312" w:hAnsi="仿宋_GB2312" w:eastAsia="仿宋_GB2312" w:cs="仿宋_GB2312"/>
          <w:b/>
          <w:bCs/>
          <w:color w:val="0000FF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1.1</w:t>
      </w:r>
      <w:bookmarkStart w:id="9" w:name="_Toc26096"/>
      <w:bookmarkStart w:id="10" w:name="_Toc23365"/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多措并举打造高水平专业群。</w:t>
      </w:r>
      <w:bookmarkEnd w:id="9"/>
      <w:bookmarkEnd w:id="10"/>
      <w:r>
        <w:rPr>
          <w:rFonts w:hint="eastAsia" w:ascii="仿宋_GB2312" w:hAnsi="仿宋_GB2312" w:eastAsia="仿宋_GB2312" w:cs="仿宋_GB2312"/>
          <w:b/>
          <w:bCs/>
          <w:color w:val="0000FF"/>
          <w:kern w:val="2"/>
          <w:sz w:val="32"/>
          <w:szCs w:val="32"/>
          <w:lang w:val="en-US" w:eastAsia="zh-CN" w:bidi="ar-SA"/>
        </w:rPr>
        <w:t>（仿宋_GB2312 三号 加粗）</w:t>
      </w:r>
    </w:p>
    <w:p>
      <w:pPr>
        <w:pStyle w:val="1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职业学校坚持不懈用习近平新时代中国特色社会主义思想凝心铸魂，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仿宋_GB2312 三号，段前后间距为0，行距固定值28）</w:t>
      </w:r>
    </w:p>
    <w:p>
      <w:pPr>
        <w:pStyle w:val="24"/>
        <w:ind w:firstLine="56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492125</wp:posOffset>
                </wp:positionV>
                <wp:extent cx="5600065" cy="2523490"/>
                <wp:effectExtent l="0" t="0" r="635" b="10160"/>
                <wp:wrapTopAndBottom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2185" y="5282565"/>
                          <a:ext cx="5600065" cy="2523490"/>
                        </a:xfrm>
                        <a:prstGeom prst="rect">
                          <a:avLst/>
                        </a:prstGeom>
                        <a:solidFill>
                          <a:srgbClr val="DBEDF3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firstLine="560" w:firstLineChars="200"/>
                              <w:jc w:val="left"/>
                              <w:textAlignment w:val="auto"/>
                              <w:rPr>
                                <w:rFonts w:hint="eastAsia" w:ascii="Times New Roman" w:hAnsi="Times New Roman" w:eastAsia="楷体" w:cs="Times New Roman"/>
                                <w:bCs/>
                                <w:color w:val="0000FF"/>
                                <w:kern w:val="2"/>
                                <w:sz w:val="28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bCs/>
                                <w:color w:val="auto"/>
                                <w:kern w:val="2"/>
                                <w:sz w:val="28"/>
                                <w:szCs w:val="24"/>
                                <w:lang w:val="en-US" w:eastAsia="zh-CN" w:bidi="ar-SA"/>
                              </w:rPr>
                              <w:t>学院建立“党委统一领导、党政齐抓共管、教务部门牵头抓总、相关部门协同联动、系部落实推进”的工作机制，构建“全专业推进、全课程渗透、全过程贯穿、全方位保障”的课程思政育人体系，把思想政治教育融入专业建设、课堂教学、技能培养、实习实训等各环节，行政思政育人合力。落实“思政+”包干到系课程思政工作模式，形成合力，共同推进教学系部课程思政工作。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bCs/>
                                <w:color w:val="0000FF"/>
                                <w:kern w:val="2"/>
                                <w:sz w:val="28"/>
                                <w:szCs w:val="24"/>
                                <w:lang w:val="en-US" w:eastAsia="zh-CN" w:bidi="ar-SA"/>
                              </w:rPr>
                              <w:t>（楷体_GB2312四号</w:t>
                            </w:r>
                            <w:r>
                              <w:rPr>
                                <w:rFonts w:hint="eastAsia" w:eastAsia="楷体" w:cs="Times New Roman"/>
                                <w:bCs/>
                                <w:color w:val="0000FF"/>
                                <w:kern w:val="2"/>
                                <w:sz w:val="28"/>
                                <w:szCs w:val="24"/>
                                <w:lang w:val="en-US" w:eastAsia="zh-CN" w:bidi="ar-SA"/>
                              </w:rPr>
                              <w:t>，段前后间距为0，行距固定值28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bCs/>
                                <w:color w:val="0000FF"/>
                                <w:kern w:val="2"/>
                                <w:sz w:val="28"/>
                                <w:szCs w:val="24"/>
                                <w:lang w:val="en-US" w:eastAsia="zh-CN" w:bidi="ar-SA"/>
                              </w:rPr>
                              <w:t>）</w:t>
                            </w:r>
                          </w:p>
                          <w:p>
                            <w:pPr>
                              <w:pStyle w:val="2"/>
                              <w:rPr>
                                <w:rFonts w:hint="eastAsia" w:ascii="Times New Roman" w:hAnsi="Times New Roman" w:eastAsia="楷体" w:cs="Times New Roman"/>
                                <w:bCs/>
                                <w:color w:val="0000FF"/>
                                <w:kern w:val="2"/>
                                <w:sz w:val="28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3"/>
                              <w:rPr>
                                <w:rFonts w:hint="eastAsia" w:ascii="Times New Roman" w:hAnsi="Times New Roman" w:eastAsia="楷体" w:cs="Times New Roman"/>
                                <w:bCs/>
                                <w:color w:val="0000FF"/>
                                <w:kern w:val="2"/>
                                <w:sz w:val="28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4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38.75pt;height:198.7pt;width:440.95pt;mso-position-horizontal-relative:page;mso-wrap-distance-bottom:0pt;mso-wrap-distance-top:0pt;z-index:251659264;mso-width-relative:page;mso-height-relative:page;" fillcolor="#DBEDF3" filled="t" stroked="f" coordsize="21600,21600" o:gfxdata="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FgAAAGRy&#10;cy9QSwECFAAUAAAACACHTuJA0ow18tsAAAALAQAADwAAAAAAAAABACAAAAA4AAAAZHJzL2Rvd25y&#10;ZXYueG1sUEsBAhQAFAAAAAgAh07iQLXgK2PlAQAAtwMAAA4AAAAAAAAAAQAgAAAAQAEAAGRycy9l&#10;Mm9Eb2MueG1sUEsFBgAAAAAGAAYAWQEAAJ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firstLine="560" w:firstLineChars="200"/>
                        <w:jc w:val="left"/>
                        <w:textAlignment w:val="auto"/>
                        <w:rPr>
                          <w:rFonts w:hint="eastAsia" w:ascii="Times New Roman" w:hAnsi="Times New Roman" w:eastAsia="楷体" w:cs="Times New Roman"/>
                          <w:bCs/>
                          <w:color w:val="0000FF"/>
                          <w:kern w:val="2"/>
                          <w:sz w:val="28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eastAsia="楷体" w:cs="Times New Roman"/>
                          <w:bCs/>
                          <w:color w:val="auto"/>
                          <w:kern w:val="2"/>
                          <w:sz w:val="28"/>
                          <w:szCs w:val="24"/>
                          <w:lang w:val="en-US" w:eastAsia="zh-CN" w:bidi="ar-SA"/>
                        </w:rPr>
                        <w:t>学院建立“党委统一领导、党政齐抓共管、教务部门牵头抓总、相关部门协同联动、系部落实推进”的工作机制，构建“全专业推进、全课程渗透、全过程贯穿、全方位保障”的课程思政育人体系，把思想政治教育融入专业建设、课堂教学、技能培养、实习实训等各环节，行政思政育人合力。落实“思政+”包干到系课程思政工作模式，形成合力，共同推进教学系部课程思政工作。</w:t>
                      </w:r>
                      <w:r>
                        <w:rPr>
                          <w:rFonts w:hint="eastAsia" w:ascii="Times New Roman" w:hAnsi="Times New Roman" w:eastAsia="楷体" w:cs="Times New Roman"/>
                          <w:bCs/>
                          <w:color w:val="0000FF"/>
                          <w:kern w:val="2"/>
                          <w:sz w:val="28"/>
                          <w:szCs w:val="24"/>
                          <w:lang w:val="en-US" w:eastAsia="zh-CN" w:bidi="ar-SA"/>
                        </w:rPr>
                        <w:t>（楷体_GB2312四号</w:t>
                      </w:r>
                      <w:r>
                        <w:rPr>
                          <w:rFonts w:hint="eastAsia" w:eastAsia="楷体" w:cs="Times New Roman"/>
                          <w:bCs/>
                          <w:color w:val="0000FF"/>
                          <w:kern w:val="2"/>
                          <w:sz w:val="28"/>
                          <w:szCs w:val="24"/>
                          <w:lang w:val="en-US" w:eastAsia="zh-CN" w:bidi="ar-SA"/>
                        </w:rPr>
                        <w:t>，段前后间距为0，行距固定值28</w:t>
                      </w:r>
                      <w:r>
                        <w:rPr>
                          <w:rFonts w:hint="eastAsia" w:ascii="Times New Roman" w:hAnsi="Times New Roman" w:eastAsia="楷体" w:cs="Times New Roman"/>
                          <w:bCs/>
                          <w:color w:val="0000FF"/>
                          <w:kern w:val="2"/>
                          <w:sz w:val="28"/>
                          <w:szCs w:val="24"/>
                          <w:lang w:val="en-US" w:eastAsia="zh-CN" w:bidi="ar-SA"/>
                        </w:rPr>
                        <w:t>）</w:t>
                      </w:r>
                    </w:p>
                    <w:p>
                      <w:pPr>
                        <w:pStyle w:val="2"/>
                        <w:rPr>
                          <w:rFonts w:hint="eastAsia" w:ascii="Times New Roman" w:hAnsi="Times New Roman" w:eastAsia="楷体" w:cs="Times New Roman"/>
                          <w:bCs/>
                          <w:color w:val="0000FF"/>
                          <w:kern w:val="2"/>
                          <w:sz w:val="28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>
                        <w:pStyle w:val="3"/>
                        <w:rPr>
                          <w:rFonts w:hint="eastAsia" w:ascii="Times New Roman" w:hAnsi="Times New Roman" w:eastAsia="楷体" w:cs="Times New Roman"/>
                          <w:bCs/>
                          <w:color w:val="0000FF"/>
                          <w:kern w:val="2"/>
                          <w:sz w:val="28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>
                        <w:pStyle w:val="4"/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55245</wp:posOffset>
                </wp:positionV>
                <wp:extent cx="5591175" cy="436245"/>
                <wp:effectExtent l="0" t="0" r="9525" b="8255"/>
                <wp:wrapTopAndBottom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1750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9"/>
                              <w:outlineLvl w:val="2"/>
                              <w:rPr>
                                <w:rFonts w:hint="default" w:eastAsia="楷体" w:cs="Times New Roman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auto"/>
                              </w:rPr>
                              <w:t>【案例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</w:rPr>
                              <w:t>】推进课程思政建设 筑牢立德树人基石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cs="Times New Roman"/>
                                <w:color w:val="auto"/>
                                <w:lang w:val="en-US" w:eastAsia="zh-CN"/>
                              </w:rPr>
                              <w:t>楷体_GB2312四号）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4pt;margin-top:4.35pt;height:34.35pt;width:440.25pt;mso-position-horizontal-relative:page;mso-wrap-distance-bottom:0pt;mso-wrap-distance-top:0pt;z-index:251660288;mso-width-relative:page;mso-height-relative:page;" fillcolor="#1F487C" filled="t" stroked="f" coordsize="21600,21600" o:gfxdata="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CTdtgzZAAAACQEAAA8AAAAAAAAAAQAgAAAAOAAAAGRycy9kb3ducmV2LnhtbFBLAQIUABQA&#10;AAAIAIdO4kCSeZ+c2QEAAKsDAAAOAAAAAAAAAAEAIAAAAD4BAABkcnMvZTJvRG9jLnhtbFBLBQYA&#10;AAAABgAGAFkBAACJ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outlineLvl w:val="2"/>
                        <w:rPr>
                          <w:rFonts w:hint="default" w:eastAsia="楷体" w:cs="Times New Roman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cs="Times New Roman"/>
                          <w:color w:val="auto"/>
                        </w:rPr>
                        <w:t>【案例</w:t>
                      </w:r>
                      <w:r>
                        <w:rPr>
                          <w:rFonts w:hint="eastAsia" w:cs="Times New Roman"/>
                          <w:color w:val="auto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cs="Times New Roman"/>
                          <w:color w:val="auto"/>
                        </w:rPr>
                        <w:t>】推进课程思政建设 筑牢立德树人基石</w:t>
                      </w:r>
                      <w:r>
                        <w:rPr>
                          <w:rFonts w:hint="eastAsia" w:cs="Times New Roman"/>
                          <w:color w:val="auto"/>
                          <w:lang w:eastAsia="zh-CN"/>
                        </w:rPr>
                        <w:t>（</w:t>
                      </w:r>
                      <w:r>
                        <w:rPr>
                          <w:rFonts w:hint="eastAsia" w:cs="Times New Roman"/>
                          <w:color w:val="auto"/>
                          <w:lang w:val="en-US" w:eastAsia="zh-CN"/>
                        </w:rPr>
                        <w:t>楷体_GB2312四号）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 w:val="0"/>
          <w:bCs/>
          <w:color w:val="0000FF"/>
          <w:sz w:val="24"/>
          <w:szCs w:val="24"/>
          <w:lang w:val="en-US" w:eastAsia="zh-CN"/>
        </w:rPr>
      </w:pPr>
      <w:r>
        <w:rPr>
          <w:b w:val="0"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-273050</wp:posOffset>
            </wp:positionV>
            <wp:extent cx="5400040" cy="3600450"/>
            <wp:effectExtent l="0" t="0" r="1016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1" w:name="_Toc15454"/>
      <w:bookmarkStart w:id="12" w:name="_Toc30715"/>
      <w:bookmarkStart w:id="13" w:name="_Toc25136"/>
      <w:bookmarkStart w:id="14" w:name="_Toc20279"/>
      <w:bookmarkStart w:id="15" w:name="_Toc11078"/>
      <w:bookmarkStart w:id="16" w:name="_Toc24081"/>
      <w:bookmarkStart w:id="17" w:name="_Toc8785"/>
      <w:bookmarkStart w:id="18" w:name="_Toc21963"/>
      <w:bookmarkStart w:id="19" w:name="_Toc23416"/>
      <w:bookmarkStart w:id="20" w:name="_Toc31868"/>
      <w:bookmarkStart w:id="21" w:name="_Toc2265"/>
      <w:bookmarkStart w:id="22" w:name="_Toc18938"/>
      <w:r>
        <w:rPr>
          <w:b w:val="0"/>
          <w:bCs/>
          <w:sz w:val="24"/>
          <w:szCs w:val="24"/>
        </w:rPr>
        <w:t>图</w:t>
      </w:r>
      <w:r>
        <w:rPr>
          <w:b w:val="0"/>
          <w:bCs/>
          <w:sz w:val="24"/>
          <w:szCs w:val="24"/>
        </w:rPr>
        <w:fldChar w:fldCharType="begin"/>
      </w:r>
      <w:r>
        <w:rPr>
          <w:b w:val="0"/>
          <w:bCs/>
          <w:sz w:val="24"/>
          <w:szCs w:val="24"/>
        </w:rPr>
        <w:instrText xml:space="preserve"> SEQ 图 \* ARABIC </w:instrText>
      </w:r>
      <w:r>
        <w:rPr>
          <w:b w:val="0"/>
          <w:bCs/>
          <w:sz w:val="24"/>
          <w:szCs w:val="24"/>
        </w:rPr>
        <w:fldChar w:fldCharType="separate"/>
      </w:r>
      <w:r>
        <w:rPr>
          <w:b w:val="0"/>
          <w:bCs/>
          <w:sz w:val="24"/>
          <w:szCs w:val="24"/>
        </w:rPr>
        <w:t>1</w:t>
      </w:r>
      <w:r>
        <w:rPr>
          <w:b w:val="0"/>
          <w:bCs/>
          <w:sz w:val="24"/>
          <w:szCs w:val="24"/>
        </w:rPr>
        <w:fldChar w:fldCharType="end"/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rPr>
          <w:rFonts w:hint="eastAsia"/>
          <w:b w:val="0"/>
          <w:bCs/>
          <w:sz w:val="24"/>
          <w:szCs w:val="24"/>
          <w:lang w:val="en-US" w:eastAsia="zh-CN"/>
        </w:rPr>
        <w:t>xxxx</w:t>
      </w:r>
      <w:r>
        <w:rPr>
          <w:rFonts w:hint="eastAsia"/>
          <w:b w:val="0"/>
          <w:bCs/>
          <w:color w:val="0000FF"/>
          <w:sz w:val="24"/>
          <w:szCs w:val="24"/>
          <w:lang w:val="en-US" w:eastAsia="zh-CN"/>
        </w:rPr>
        <w:t>（名称宋体小四，图片居中，嵌入型插入，单倍行距，高10cm宽15cm）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after="0" w:line="240" w:lineRule="auto"/>
        <w:textAlignment w:val="auto"/>
      </w:pPr>
      <w:r>
        <w:drawing>
          <wp:inline distT="0" distB="0" distL="114300" distR="114300">
            <wp:extent cx="5400040" cy="3481705"/>
            <wp:effectExtent l="9525" t="9525" r="1968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5446" b="107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17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default"/>
          <w:b w:val="0"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 w:val="0"/>
          <w:bCs/>
          <w:sz w:val="24"/>
          <w:szCs w:val="24"/>
          <w:lang w:val="en-US" w:eastAsia="zh-CN"/>
        </w:rPr>
        <w:t>数据分析图表4：在线学习平台课程活动情况态势图</w:t>
      </w:r>
      <w:r>
        <w:rPr>
          <w:rFonts w:hint="eastAsia" w:cs="Times New Roman"/>
          <w:b w:val="0"/>
          <w:bCs/>
          <w:color w:val="0000FF"/>
          <w:sz w:val="24"/>
          <w:szCs w:val="24"/>
          <w:lang w:val="en-US" w:eastAsia="zh-CN"/>
        </w:rPr>
        <w:t>（名称宋体小四，</w:t>
      </w:r>
      <w:r>
        <w:rPr>
          <w:rFonts w:hint="eastAsia"/>
          <w:b w:val="0"/>
          <w:bCs/>
          <w:color w:val="0000FF"/>
          <w:sz w:val="24"/>
          <w:szCs w:val="24"/>
          <w:lang w:val="en-US" w:eastAsia="zh-CN"/>
        </w:rPr>
        <w:t>表格居中，嵌入型插入，单倍行距，高10cm宽15cm）</w:t>
      </w:r>
    </w:p>
    <w:p>
      <w:pPr>
        <w:pStyle w:val="20"/>
        <w:bidi w:val="0"/>
        <w:rPr>
          <w:rFonts w:hint="default" w:ascii="宋体" w:hAnsi="宋体" w:eastAsia="宋体" w:cs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0"/>
        <w:textAlignment w:val="auto"/>
        <w:rPr>
          <w:rFonts w:hint="default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689" w:bottom="1440" w:left="1689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  <w:embedRegular r:id="rId1" w:fontKey="{B2015AA9-B710-2B25-F464-256918C8A78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  <w:embedRegular r:id="rId2" w:fontKey="{B4C5C6D8-CD9D-7012-F564-256957D7F892}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E2726B5F-72E9-D67B-F564-2569E211EE5F}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KaiTi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2C679EFA-6D5C-B86D-F564-2569CF4CB66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C4416B9B-F2C2-85D1-F564-25690C1C5398}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C2827CF1-CAB5-F2CF-F564-256970F27F5C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7538"/>
      <w:rPr>
        <w:rFonts w:ascii="Times New Roman" w:hAnsi="Times New Roman" w:eastAsia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kgka0MQIAAGE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JIJGtD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zNTkyM2M1YmU1ZWJiYzUyZTczZGQ4NjQwZmRkM2MifQ=="/>
  </w:docVars>
  <w:rsids>
    <w:rsidRoot w:val="02CB2BE3"/>
    <w:rsid w:val="02313F99"/>
    <w:rsid w:val="023528AC"/>
    <w:rsid w:val="024C3811"/>
    <w:rsid w:val="02CB2BE3"/>
    <w:rsid w:val="03B91721"/>
    <w:rsid w:val="042C4060"/>
    <w:rsid w:val="051528EC"/>
    <w:rsid w:val="071C391A"/>
    <w:rsid w:val="07DF1FE2"/>
    <w:rsid w:val="07E35FFF"/>
    <w:rsid w:val="09FA0E9C"/>
    <w:rsid w:val="0BC70130"/>
    <w:rsid w:val="0EB97884"/>
    <w:rsid w:val="0EC853E9"/>
    <w:rsid w:val="0EE370A8"/>
    <w:rsid w:val="0F8063A4"/>
    <w:rsid w:val="11630664"/>
    <w:rsid w:val="11A93878"/>
    <w:rsid w:val="12761574"/>
    <w:rsid w:val="15246BE0"/>
    <w:rsid w:val="167F236D"/>
    <w:rsid w:val="193C52A5"/>
    <w:rsid w:val="197F7ADA"/>
    <w:rsid w:val="1B3F107D"/>
    <w:rsid w:val="1E9B1CAC"/>
    <w:rsid w:val="1EDF0F52"/>
    <w:rsid w:val="210271EE"/>
    <w:rsid w:val="2155361D"/>
    <w:rsid w:val="227212BF"/>
    <w:rsid w:val="22F20FA2"/>
    <w:rsid w:val="245B6F27"/>
    <w:rsid w:val="25761B3F"/>
    <w:rsid w:val="260B57FF"/>
    <w:rsid w:val="26C37006"/>
    <w:rsid w:val="28924EE2"/>
    <w:rsid w:val="29BE2974"/>
    <w:rsid w:val="2A783873"/>
    <w:rsid w:val="2C2C2B71"/>
    <w:rsid w:val="2F1F0E5B"/>
    <w:rsid w:val="34315385"/>
    <w:rsid w:val="37357164"/>
    <w:rsid w:val="38434098"/>
    <w:rsid w:val="3CCE28B1"/>
    <w:rsid w:val="3E164470"/>
    <w:rsid w:val="3EB63508"/>
    <w:rsid w:val="3FEECBD5"/>
    <w:rsid w:val="4030351A"/>
    <w:rsid w:val="409938EE"/>
    <w:rsid w:val="41DB6E1D"/>
    <w:rsid w:val="43DA4BA5"/>
    <w:rsid w:val="464A2500"/>
    <w:rsid w:val="488A0DBE"/>
    <w:rsid w:val="4BF150C4"/>
    <w:rsid w:val="4D135D42"/>
    <w:rsid w:val="4DA06AD1"/>
    <w:rsid w:val="4DA815ED"/>
    <w:rsid w:val="4DB50643"/>
    <w:rsid w:val="4F3D2028"/>
    <w:rsid w:val="52CA226C"/>
    <w:rsid w:val="53896967"/>
    <w:rsid w:val="54001932"/>
    <w:rsid w:val="543142CA"/>
    <w:rsid w:val="55602F71"/>
    <w:rsid w:val="57F43364"/>
    <w:rsid w:val="5A756D17"/>
    <w:rsid w:val="5BA318B9"/>
    <w:rsid w:val="5BEF2C47"/>
    <w:rsid w:val="5C8D0783"/>
    <w:rsid w:val="5C8E00BC"/>
    <w:rsid w:val="5DE20F31"/>
    <w:rsid w:val="5EDB19C1"/>
    <w:rsid w:val="5EF606CD"/>
    <w:rsid w:val="5FE76A66"/>
    <w:rsid w:val="605E5B3A"/>
    <w:rsid w:val="611A4688"/>
    <w:rsid w:val="649C5342"/>
    <w:rsid w:val="6A0960AB"/>
    <w:rsid w:val="6AB353DB"/>
    <w:rsid w:val="720C4119"/>
    <w:rsid w:val="78FD03EC"/>
    <w:rsid w:val="797C6135"/>
    <w:rsid w:val="79A625B4"/>
    <w:rsid w:val="7F2A78D7"/>
    <w:rsid w:val="7F733B7A"/>
    <w:rsid w:val="7F8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2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Theme="minorEastAsia"/>
      <w:b/>
      <w:sz w:val="32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 w:afterAutospacing="0"/>
    </w:pPr>
  </w:style>
  <w:style w:type="paragraph" w:styleId="3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index 5"/>
    <w:basedOn w:val="1"/>
    <w:next w:val="1"/>
    <w:qFormat/>
    <w:uiPriority w:val="2"/>
    <w:pPr>
      <w:ind w:left="168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14">
    <w:name w:val="Table Grid"/>
    <w:basedOn w:val="13"/>
    <w:qFormat/>
    <w:uiPriority w:val="39"/>
    <w:rPr>
      <w:rFonts w:ascii="Times New Roman" w:hAnsi="Times New Roman" w:eastAsia="宋体" w:cs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paragraph" w:customStyle="1" w:styleId="17">
    <w:name w:val="年报二标"/>
    <w:basedOn w:val="5"/>
    <w:qFormat/>
    <w:uiPriority w:val="0"/>
    <w:pPr>
      <w:spacing w:before="260" w:after="260" w:line="416" w:lineRule="auto"/>
      <w:outlineLvl w:val="1"/>
    </w:pPr>
    <w:rPr>
      <w:rFonts w:hint="eastAsia" w:ascii="Times New Roman" w:hAnsi="Times New Roman" w:eastAsia="宋体"/>
      <w:bCs/>
      <w:color w:val="0070C0"/>
      <w:kern w:val="0"/>
      <w:sz w:val="28"/>
      <w:szCs w:val="36"/>
    </w:rPr>
  </w:style>
  <w:style w:type="paragraph" w:customStyle="1" w:styleId="18">
    <w:name w:val="年报正文"/>
    <w:basedOn w:val="1"/>
    <w:qFormat/>
    <w:uiPriority w:val="0"/>
    <w:pPr>
      <w:ind w:firstLine="560" w:firstLineChars="200"/>
    </w:pPr>
    <w:rPr>
      <w:rFonts w:hint="eastAsia" w:cs="宋体"/>
      <w:szCs w:val="28"/>
    </w:rPr>
  </w:style>
  <w:style w:type="paragraph" w:customStyle="1" w:styleId="19">
    <w:name w:val="案例标题"/>
    <w:basedOn w:val="6"/>
    <w:qFormat/>
    <w:uiPriority w:val="0"/>
    <w:pPr>
      <w:spacing w:before="100" w:after="100" w:line="360" w:lineRule="auto"/>
      <w:outlineLvl w:val="3"/>
    </w:pPr>
    <w:rPr>
      <w:rFonts w:hint="eastAsia" w:ascii="楷体" w:hAnsi="楷体" w:eastAsia="楷体"/>
      <w:bCs/>
      <w:color w:val="0070C0"/>
      <w:sz w:val="28"/>
    </w:rPr>
  </w:style>
  <w:style w:type="paragraph" w:customStyle="1" w:styleId="20">
    <w:name w:val="年报图目录"/>
    <w:basedOn w:val="6"/>
    <w:next w:val="1"/>
    <w:qFormat/>
    <w:uiPriority w:val="0"/>
    <w:pPr>
      <w:keepNext w:val="0"/>
      <w:keepLines w:val="0"/>
      <w:adjustRightInd w:val="0"/>
      <w:snapToGrid w:val="0"/>
      <w:spacing w:before="40" w:after="40" w:line="360" w:lineRule="auto"/>
      <w:jc w:val="center"/>
    </w:pPr>
    <w:rPr>
      <w:rFonts w:hint="eastAsia" w:ascii="宋体" w:hAnsi="宋体" w:eastAsia="宋体" w:cs="Times New Roman"/>
      <w:color w:val="000000"/>
      <w:sz w:val="21"/>
      <w:szCs w:val="21"/>
    </w:rPr>
  </w:style>
  <w:style w:type="table" w:customStyle="1" w:styleId="2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customStyle="1" w:styleId="23">
    <w:name w:val="年报一标"/>
    <w:basedOn w:val="5"/>
    <w:next w:val="1"/>
    <w:qFormat/>
    <w:uiPriority w:val="0"/>
    <w:pPr>
      <w:keepNext/>
      <w:keepLines/>
      <w:spacing w:before="340" w:after="330" w:line="579" w:lineRule="auto"/>
      <w:ind w:firstLine="0" w:firstLineChars="0"/>
      <w:jc w:val="left"/>
      <w:outlineLvl w:val="0"/>
    </w:pPr>
    <w:rPr>
      <w:rFonts w:eastAsia="黑体" w:cs="黑体"/>
      <w:kern w:val="44"/>
      <w:sz w:val="36"/>
    </w:rPr>
  </w:style>
  <w:style w:type="paragraph" w:customStyle="1" w:styleId="24">
    <w:name w:val="案例正文"/>
    <w:basedOn w:val="1"/>
    <w:qFormat/>
    <w:uiPriority w:val="0"/>
    <w:pPr>
      <w:ind w:firstLine="480" w:firstLineChars="200"/>
    </w:pPr>
    <w:rPr>
      <w:rFonts w:hint="eastAsia" w:ascii="Times New Roman" w:hAnsi="Times New Roman" w:eastAsia="楷体" w:cs="Times New Roman"/>
      <w:bCs/>
      <w:color w:val="auto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586</Words>
  <Characters>658</Characters>
  <Lines>0</Lines>
  <Paragraphs>0</Paragraphs>
  <TotalTime>35</TotalTime>
  <ScaleCrop>false</ScaleCrop>
  <LinksUpToDate>false</LinksUpToDate>
  <CharactersWithSpaces>686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2022-12-27T15:48:00Z</dcterms:created>
  <dc:creator>1413279019</dc:creator>
  <cp:lastModifiedBy>徐伯尧</cp:lastModifiedBy>
  <cp:lastPrinted>2023-12-07T14:57:00Z</cp:lastPrinted>
  <dcterms:modified xsi:type="dcterms:W3CDTF">2025-11-25T16:12:36Z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EE215D14EB7A6E51F46425694C4739E5_43</vt:lpwstr>
  </property>
  <property fmtid="{D5CDD505-2E9C-101B-9397-08002B2CF9AE}" pid="4" name="KSOTemplateDocerSaveRecord">
    <vt:lpwstr>eyJoZGlkIjoiNDhjMWU2YTJmNWUzODcwY2UwNWJmMWMzZGYyZDE4MzQiLCJ1c2VySWQiOiIxNjQ5NzQ2OTAyIn0=</vt:lpwstr>
  </property>
</Properties>
</file>