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2024年学校共青团工作要点</w:t>
      </w:r>
    </w:p>
    <w:p>
      <w:pPr>
        <w:widowControl/>
        <w:shd w:val="clear" w:color="auto" w:fill="FFFFFF"/>
        <w:spacing w:line="560" w:lineRule="exact"/>
        <w:ind w:firstLine="640" w:firstLineChars="200"/>
        <w:rPr>
          <w:rFonts w:ascii="仿宋_GB2312" w:hAnsi="华文中宋" w:eastAsia="仿宋_GB2312" w:cs="华文中宋"/>
          <w:sz w:val="32"/>
          <w:szCs w:val="32"/>
        </w:rPr>
      </w:pPr>
    </w:p>
    <w:p>
      <w:pPr>
        <w:spacing w:line="560" w:lineRule="exact"/>
        <w:rPr>
          <w:rFonts w:ascii="仿宋_GB2312" w:hAnsi="仿宋" w:eastAsia="仿宋_GB2312"/>
          <w:sz w:val="32"/>
          <w:szCs w:val="32"/>
        </w:rPr>
      </w:pPr>
      <w:r>
        <w:rPr>
          <w:rFonts w:hint="eastAsia" w:ascii="仿宋_GB2312" w:hAnsi="仿宋" w:eastAsia="仿宋_GB2312"/>
          <w:sz w:val="32"/>
          <w:szCs w:val="32"/>
        </w:rPr>
        <w:t>各团总支、团支部：</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楷体"/>
          <w:sz w:val="32"/>
          <w:szCs w:val="32"/>
          <w:shd w:val="clear" w:color="auto" w:fill="FFFFFF"/>
        </w:rPr>
        <w:t>现将《山东电子职业技术学院2024年共青团工作要点》印发给你们，请认真学习研究，结合工作实际，抓好贯彻落实。</w:t>
      </w: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共青团山东电子职业技术学院委员会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 xml:space="preserve"> 2024年6月</w:t>
      </w:r>
      <w:r>
        <w:rPr>
          <w:rFonts w:hint="eastAsia" w:ascii="仿宋_GB2312" w:hAnsi="仿宋" w:eastAsia="仿宋_GB2312"/>
          <w:sz w:val="32"/>
          <w:szCs w:val="32"/>
          <w:lang w:val="en-US" w:eastAsia="zh-CN"/>
        </w:rPr>
        <w:t>7</w:t>
      </w:r>
      <w:r>
        <w:rPr>
          <w:rFonts w:hint="eastAsia" w:ascii="仿宋_GB2312" w:hAnsi="仿宋" w:eastAsia="仿宋_GB2312"/>
          <w:sz w:val="32"/>
          <w:szCs w:val="32"/>
        </w:rPr>
        <w:t>日</w:t>
      </w:r>
    </w:p>
    <w:p>
      <w:pPr>
        <w:widowControl/>
        <w:jc w:val="center"/>
        <w:rPr>
          <w:rFonts w:ascii="方正小标宋简体" w:hAnsi="方正小标宋简体" w:eastAsia="方正小标宋简体" w:cs="方正小标宋简体"/>
          <w:color w:val="000000"/>
          <w:kern w:val="0"/>
          <w:sz w:val="44"/>
          <w:szCs w:val="44"/>
          <w:lang w:bidi="ar"/>
        </w:rPr>
      </w:pPr>
    </w:p>
    <w:p>
      <w:pPr>
        <w:widowControl/>
        <w:jc w:val="center"/>
        <w:rPr>
          <w:rFonts w:ascii="方正小标宋简体" w:hAnsi="方正小标宋简体" w:eastAsia="方正小标宋简体" w:cs="方正小标宋简体"/>
          <w:color w:val="000000"/>
          <w:kern w:val="0"/>
          <w:sz w:val="44"/>
          <w:szCs w:val="44"/>
          <w:lang w:bidi="ar"/>
        </w:rPr>
      </w:pPr>
    </w:p>
    <w:p>
      <w:pPr>
        <w:widowControl/>
        <w:jc w:val="center"/>
        <w:rPr>
          <w:rFonts w:ascii="方正小标宋简体" w:hAnsi="方正小标宋简体" w:eastAsia="方正小标宋简体" w:cs="方正小标宋简体"/>
          <w:color w:val="000000"/>
          <w:kern w:val="0"/>
          <w:sz w:val="44"/>
          <w:szCs w:val="44"/>
          <w:lang w:bidi="ar"/>
        </w:rPr>
      </w:pPr>
    </w:p>
    <w:p>
      <w:pPr>
        <w:widowControl/>
        <w:jc w:val="center"/>
        <w:rPr>
          <w:rFonts w:ascii="方正小标宋简体" w:hAnsi="方正小标宋简体" w:eastAsia="方正小标宋简体" w:cs="方正小标宋简体"/>
          <w:color w:val="000000"/>
          <w:kern w:val="0"/>
          <w:sz w:val="44"/>
          <w:szCs w:val="44"/>
          <w:lang w:bidi="ar"/>
        </w:rPr>
      </w:pPr>
    </w:p>
    <w:p>
      <w:pPr>
        <w:widowControl/>
        <w:jc w:val="center"/>
        <w:rPr>
          <w:rFonts w:ascii="方正小标宋简体" w:hAnsi="方正小标宋简体" w:eastAsia="方正小标宋简体" w:cs="方正小标宋简体"/>
          <w:color w:val="000000"/>
          <w:kern w:val="0"/>
          <w:sz w:val="44"/>
          <w:szCs w:val="44"/>
          <w:lang w:bidi="ar"/>
        </w:rPr>
      </w:pPr>
    </w:p>
    <w:p>
      <w:pPr>
        <w:widowControl/>
        <w:jc w:val="center"/>
        <w:rPr>
          <w:rFonts w:ascii="方正小标宋简体" w:hAnsi="方正小标宋简体" w:eastAsia="方正小标宋简体" w:cs="方正小标宋简体"/>
          <w:color w:val="000000"/>
          <w:kern w:val="0"/>
          <w:sz w:val="44"/>
          <w:szCs w:val="44"/>
          <w:lang w:bidi="ar"/>
        </w:rPr>
      </w:pPr>
    </w:p>
    <w:p>
      <w:pPr>
        <w:widowControl/>
        <w:jc w:val="center"/>
        <w:rPr>
          <w:rFonts w:ascii="方正小标宋简体" w:hAnsi="方正小标宋简体" w:eastAsia="方正小标宋简体" w:cs="方正小标宋简体"/>
          <w:color w:val="000000"/>
          <w:kern w:val="0"/>
          <w:sz w:val="44"/>
          <w:szCs w:val="44"/>
          <w:lang w:bidi="ar"/>
        </w:rPr>
      </w:pPr>
    </w:p>
    <w:p>
      <w:pPr>
        <w:widowControl/>
        <w:jc w:val="center"/>
        <w:rPr>
          <w:rFonts w:ascii="方正小标宋简体" w:hAnsi="方正小标宋简体" w:eastAsia="方正小标宋简体" w:cs="方正小标宋简体"/>
          <w:color w:val="000000"/>
          <w:kern w:val="0"/>
          <w:sz w:val="44"/>
          <w:szCs w:val="44"/>
          <w:lang w:bidi="ar"/>
        </w:rPr>
      </w:pPr>
    </w:p>
    <w:p>
      <w:pPr>
        <w:widowControl/>
        <w:rPr>
          <w:rFonts w:ascii="仿宋_GB2312" w:hAnsi="仿宋_GB2312" w:eastAsia="仿宋_GB2312" w:cs="仿宋_GB2312"/>
          <w:color w:val="000000"/>
          <w:kern w:val="0"/>
          <w:sz w:val="32"/>
          <w:szCs w:val="32"/>
          <w:lang w:bidi="ar"/>
        </w:rPr>
      </w:pPr>
    </w:p>
    <w:p>
      <w:pPr>
        <w:widowControl/>
        <w:spacing w:line="560" w:lineRule="exact"/>
        <w:jc w:val="center"/>
        <w:rPr>
          <w:rFonts w:ascii="仿宋_GB2312" w:hAnsi="仿宋_GB2312" w:eastAsia="仿宋_GB2312" w:cs="仿宋_GB2312"/>
          <w:color w:val="000000"/>
          <w:kern w:val="0"/>
          <w:sz w:val="32"/>
          <w:szCs w:val="32"/>
          <w:lang w:bidi="ar"/>
        </w:rPr>
      </w:pPr>
      <w:r>
        <w:rPr>
          <w:rFonts w:hint="eastAsia" w:ascii="方正小标宋简体" w:hAnsi="方正小标宋简体" w:eastAsia="方正小标宋简体" w:cs="方正小标宋简体"/>
          <w:color w:val="000000"/>
          <w:kern w:val="0"/>
          <w:sz w:val="44"/>
          <w:szCs w:val="44"/>
          <w:lang w:bidi="ar"/>
        </w:rPr>
        <w:t>2024年学校共青团工作要点</w:t>
      </w:r>
    </w:p>
    <w:p>
      <w:pPr>
        <w:widowControl/>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2024年，学校共青团工作的总体思路是：以习近平新时代中国特色社会主义思想为指导，全面贯彻党的二十大和二十届二中全会精神，深入贯彻习近平总书记关于青年工作的重要思想和关于教育的重要论述，认真履行为党育人、为国育才政治责任，共建更高水平的“三全育人”工作格局，充分发挥共青团在学校学生思想政治工作中的主力军作用，着力加强政治引领，创新实践育人体系，全面服务成长成才，动员引领团员青年在以中国式现代化全面推进强国建设民族复兴伟业中挺膺担当。当年共青团工作领域获得省级及以上奖项3项，其中国家级1项。</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一、加强思想政治引领用习近平新时代中国特色社会主义思想凝心铸魂</w:t>
      </w:r>
    </w:p>
    <w:p>
      <w:pPr>
        <w:widowControl/>
        <w:spacing w:line="560" w:lineRule="exact"/>
        <w:ind w:firstLine="640" w:firstLineChars="200"/>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1.加强党的创新理论武装</w:t>
      </w:r>
    </w:p>
    <w:p>
      <w:pPr>
        <w:widowControl/>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巩固拓展团员和青年主题教育成果，引导团员和青年认真学习领会习近平新时代中国特色社会主义思想，努力掌握这一科学思想的世界观和方法论，善于运用贯穿其中的立场观点方法分析解决问题。创新赋能“三会两制一课”，坚持组织化学习基本方式，组织各级团支部全年至少开展6次专题学习，年底至少召开1次专题组织生活会。发挥团支部书记、委员模范带头作用，以研讨辨析、座谈交流、朋辈宣讲等形式，积极带动同学学习党的创新理论，在深化、内化、转化上下功夫。</w:t>
      </w:r>
    </w:p>
    <w:p>
      <w:pPr>
        <w:widowControl/>
        <w:spacing w:line="560" w:lineRule="exact"/>
        <w:ind w:firstLine="640" w:firstLineChars="200"/>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2.强化社会主义核心价值观引领</w:t>
      </w:r>
    </w:p>
    <w:p>
      <w:pPr>
        <w:widowControl/>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贯彻落实爱国主义教育法，把握中华人民共和国成立75周年、五四运动105周年等重大时间节点，开展主题宣传教育实践活动不少于30项，引导学生坚持爱国爱党爱社会主义相统一，坚定听党话、跟党走的政治信念。加强中华优秀传统文化教育，铸牢中华民族共同体意识。深化法治宣传教育，深化成就教育和形势政策教育，鼓励团干部讲形势政策课，着力激发学生奋斗精神。</w:t>
      </w:r>
    </w:p>
    <w:p>
      <w:pPr>
        <w:widowControl/>
        <w:spacing w:line="560" w:lineRule="exact"/>
        <w:ind w:firstLine="640" w:firstLineChars="200"/>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3.创新思想政治引领项目载体</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擦亮“青年大学习”、“书记读书会”品牌，年度内组织学生参与学习“青年大学习”40期，参与率达到100，组织各团总支开展书记读书会不少于9期。充分发挥青年党员、团干部、“青马工程”学员等先进青年典型作用，广泛开展分众化、互动式、面对面宣讲。聚焦重大主题、重大战略，指导各级团组织结合重要时间节点开展主题团日活动，增强育人功能，激发组织活力。</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二、完善创新实践育人体系广泛动员团员青年建功立业</w:t>
      </w:r>
    </w:p>
    <w:p>
      <w:pPr>
        <w:widowControl/>
        <w:spacing w:line="560" w:lineRule="exact"/>
        <w:ind w:firstLine="640" w:firstLineChars="200"/>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1.丰富社会实践项目体系</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打造“一系一品牌”社会实践项目，围绕科技创新、乡村振兴、绿色发展、社会服务、卫国成边等重点领域，设计开展系列专项社会实践活动。围绕提升学生专业素养、支持学校学科专业建设，广泛开展学术实践，广泛组织团员青年开展“三下乡”“返家乡”“百万大学生进社区”社会实践活动。年度内组织不少于8000人参加暑期“三下乡”社会实践活动，组织不少于2000位学生参与“返家乡”社会实践活动，组织万名学生参与“百万大学生进社区”社会实践活动。推动大学生社区实践计划提质扩面，全年组织动员各级团支部、青年学生就近就便开展社区实践。持续提升实践育人质量，与三涧溪村共建“社会实践志愿服务”基地，提升数字科技助力乡村振兴等品牌引领力。</w:t>
      </w:r>
    </w:p>
    <w:p>
      <w:pPr>
        <w:widowControl/>
        <w:spacing w:line="560" w:lineRule="exact"/>
        <w:ind w:firstLine="640" w:firstLineChars="200"/>
        <w:rPr>
          <w:rFonts w:ascii="楷体" w:hAnsi="楷体" w:eastAsia="楷体" w:cs="楷体"/>
          <w:color w:val="000000" w:themeColor="text1"/>
          <w:kern w:val="0"/>
          <w:sz w:val="32"/>
          <w:szCs w:val="32"/>
          <w:lang w:bidi="ar"/>
          <w14:textFill>
            <w14:solidFill>
              <w14:schemeClr w14:val="tx1"/>
            </w14:solidFill>
          </w14:textFill>
        </w:rPr>
      </w:pPr>
      <w:r>
        <w:rPr>
          <w:rFonts w:hint="eastAsia" w:ascii="楷体" w:hAnsi="楷体" w:eastAsia="楷体" w:cs="楷体"/>
          <w:color w:val="000000" w:themeColor="text1"/>
          <w:kern w:val="0"/>
          <w:sz w:val="32"/>
          <w:szCs w:val="32"/>
          <w:lang w:bidi="ar"/>
          <w14:textFill>
            <w14:solidFill>
              <w14:schemeClr w14:val="tx1"/>
            </w14:solidFill>
          </w14:textFill>
        </w:rPr>
        <w:t>2.拓展志愿服务活动育人内涵</w:t>
      </w:r>
    </w:p>
    <w:p>
      <w:pPr>
        <w:pStyle w:val="2"/>
        <w:spacing w:line="560" w:lineRule="exact"/>
        <w:ind w:firstLine="640" w:firstLineChars="200"/>
        <w:rPr>
          <w:rFonts w:ascii="仿宋_GB2312" w:hAnsi="仿宋_GB2312" w:eastAsia="仿宋_GB2312" w:cs="仿宋_GB2312"/>
          <w:color w:val="000000" w:themeColor="text1"/>
          <w:kern w:val="0"/>
          <w:lang w:bidi="ar"/>
          <w14:textFill>
            <w14:solidFill>
              <w14:schemeClr w14:val="tx1"/>
            </w14:solidFill>
          </w14:textFill>
        </w:rPr>
      </w:pPr>
      <w:r>
        <w:rPr>
          <w:rFonts w:hint="eastAsia" w:ascii="仿宋_GB2312" w:hAnsi="仿宋_GB2312" w:eastAsia="仿宋_GB2312" w:cs="仿宋_GB2312"/>
          <w:color w:val="000000" w:themeColor="text1"/>
          <w:kern w:val="0"/>
          <w:lang w:bidi="ar"/>
          <w14:textFill>
            <w14:solidFill>
              <w14:schemeClr w14:val="tx1"/>
            </w14:solidFill>
          </w14:textFill>
        </w:rPr>
        <w:t>擦亮学校志愿服务品牌，推进学校青年志愿者提升计划，着力完善学校青年志愿者工作体系。</w:t>
      </w:r>
      <w:r>
        <w:rPr>
          <w:rFonts w:hint="eastAsia" w:ascii="仿宋_GB2312" w:hAnsi="仿宋" w:eastAsia="仿宋_GB2312" w:cs="仿宋"/>
          <w:color w:val="000000" w:themeColor="text1"/>
          <w14:textFill>
            <w14:solidFill>
              <w14:schemeClr w14:val="tx1"/>
            </w14:solidFill>
          </w14:textFill>
        </w:rPr>
        <w:t>广泛开展</w:t>
      </w:r>
      <w:r>
        <w:rPr>
          <w:rFonts w:hint="eastAsia" w:ascii="仿宋_GB2312" w:hAnsi="仿宋" w:eastAsia="仿宋_GB2312" w:cs="仿宋"/>
          <w:bCs/>
          <w:color w:val="000000" w:themeColor="text1"/>
          <w14:textFill>
            <w14:solidFill>
              <w14:schemeClr w14:val="tx1"/>
            </w14:solidFill>
          </w14:textFill>
        </w:rPr>
        <w:t>弘扬雷锋精神</w:t>
      </w:r>
      <w:r>
        <w:rPr>
          <w:rFonts w:hint="eastAsia" w:ascii="仿宋_GB2312" w:hAnsi="仿宋" w:eastAsia="仿宋_GB2312" w:cs="仿宋"/>
          <w:color w:val="000000" w:themeColor="text1"/>
          <w14:textFill>
            <w14:solidFill>
              <w14:schemeClr w14:val="tx1"/>
            </w14:solidFill>
          </w14:textFill>
        </w:rPr>
        <w:t>志愿服务活动200次，深入开展无偿献血志愿服务，努力推动年度献血人数达850人以上，年度献血量突破250000ml。加强与团省委、团工委、团市委、各团区委的联系。加强志愿服务典型集体、先进个人及优秀项目的选树宣传。</w:t>
      </w:r>
      <w:r>
        <w:rPr>
          <w:rFonts w:hint="eastAsia" w:ascii="仿宋_GB2312" w:hAnsi="仿宋_GB2312" w:eastAsia="仿宋_GB2312" w:cs="仿宋_GB2312"/>
          <w:color w:val="000000" w:themeColor="text1"/>
          <w:kern w:val="0"/>
          <w:lang w:bidi="ar"/>
          <w14:textFill>
            <w14:solidFill>
              <w14:schemeClr w14:val="tx1"/>
            </w14:solidFill>
          </w14:textFill>
        </w:rPr>
        <w:t>以青年志愿者服务社区行动为统领，持续开展“雷锋电子e工服务队”“e老e小”“智飞未来”“知行合e”“新时代黄河大合唱”“青春树莓”等品牌项目。</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三、服务人才培养体系建设促进学生德智体美劳全面发展</w:t>
      </w:r>
    </w:p>
    <w:p>
      <w:pPr>
        <w:widowControl/>
        <w:spacing w:line="560" w:lineRule="exact"/>
        <w:ind w:firstLine="640" w:firstLineChars="200"/>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1.健全“五育”协同育人机制</w:t>
      </w:r>
    </w:p>
    <w:p>
      <w:pPr>
        <w:widowControl/>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围绕促进学生德智体美劳全面发展，落实学校1412工作体系要求，围绕学风建设、素质养成等方面创新打造一批</w:t>
      </w:r>
      <w:r>
        <w:rPr>
          <w:rFonts w:hint="eastAsia" w:ascii="仿宋_GB2312" w:hAnsi="仿宋" w:eastAsia="仿宋_GB2312" w:cs="仿宋"/>
          <w:color w:val="000000" w:themeColor="text1"/>
          <w:sz w:val="32"/>
          <w:szCs w:val="32"/>
          <w14:textFill>
            <w14:solidFill>
              <w14:schemeClr w14:val="tx1"/>
            </w14:solidFill>
          </w14:textFill>
        </w:rPr>
        <w:t>“五月的花海”文化艺术节、“青春爱运动，健康强中国”一校多品体育节、草地音乐节、迎新联欢会等</w:t>
      </w:r>
      <w:r>
        <w:rPr>
          <w:rFonts w:hint="eastAsia" w:ascii="仿宋_GB2312" w:hAnsi="仿宋_GB2312" w:eastAsia="仿宋_GB2312" w:cs="仿宋_GB2312"/>
          <w:color w:val="000000"/>
          <w:kern w:val="0"/>
          <w:sz w:val="32"/>
          <w:szCs w:val="32"/>
          <w:lang w:bidi="ar"/>
        </w:rPr>
        <w:t>校园文化品牌活动10项。健全完善“第二课堂成绩单”制度，丰富第二课堂活动内容。</w:t>
      </w:r>
    </w:p>
    <w:p>
      <w:pPr>
        <w:widowControl/>
        <w:spacing w:line="560" w:lineRule="exact"/>
        <w:ind w:firstLine="640" w:firstLineChars="200"/>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2.促进学生身心健康全面发展</w:t>
      </w:r>
    </w:p>
    <w:p>
      <w:pPr>
        <w:widowControl/>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kern w:val="0"/>
          <w:sz w:val="32"/>
          <w:szCs w:val="32"/>
          <w:lang w:bidi="ar"/>
        </w:rPr>
        <w:t>开展健康有益的校园文化活动，制作推介优秀文化产品，</w:t>
      </w:r>
      <w:r>
        <w:rPr>
          <w:rFonts w:hint="eastAsia" w:ascii="仿宋_GB2312" w:hAnsi="仿宋" w:eastAsia="仿宋_GB2312" w:cs="仿宋"/>
          <w:color w:val="000000" w:themeColor="text1"/>
          <w:sz w:val="32"/>
          <w:szCs w:val="32"/>
          <w14:textFill>
            <w14:solidFill>
              <w14:schemeClr w14:val="tx1"/>
            </w14:solidFill>
          </w14:textFill>
        </w:rPr>
        <w:t>坚持繁荣校园文化与提升学生综合素质相结合</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，围绕立德树人根本任务，开展具有时代特征的</w:t>
      </w:r>
      <w:r>
        <w:rPr>
          <w:rFonts w:hint="eastAsia" w:ascii="仿宋_GB2312" w:hAnsi="仿宋" w:eastAsia="仿宋_GB2312" w:cs="仿宋"/>
          <w:color w:val="000000" w:themeColor="text1"/>
          <w:sz w:val="32"/>
          <w:szCs w:val="32"/>
          <w14:textFill>
            <w14:solidFill>
              <w14:schemeClr w14:val="tx1"/>
            </w14:solidFill>
          </w14:textFill>
        </w:rPr>
        <w:t>各类社会主义先进文化主题教育</w:t>
      </w:r>
      <w:bookmarkStart w:id="0" w:name="_GoBack"/>
      <w:bookmarkEnd w:id="0"/>
      <w:r>
        <w:rPr>
          <w:rFonts w:hint="eastAsia" w:ascii="仿宋_GB2312" w:hAnsi="仿宋" w:eastAsia="仿宋_GB2312" w:cs="仿宋"/>
          <w:color w:val="000000" w:themeColor="text1"/>
          <w:sz w:val="32"/>
          <w:szCs w:val="32"/>
          <w14:textFill>
            <w14:solidFill>
              <w14:schemeClr w14:val="tx1"/>
            </w14:solidFill>
          </w14:textFill>
        </w:rPr>
        <w:t>，大力推动中华优秀传统文化融入学生第二课堂，持续构建“学校有精品、各系有特色、班团有活力”的文化格局，进一步丰富“五月的花海”文化艺术节、“青春爱运动，健康强中国”一校多品体育节、毕业季、迎新季等30项品牌系列文化活动内涵，积极引进高雅艺术进校园，不断丰富符合新时代青年特点的文化供给。</w:t>
      </w:r>
    </w:p>
    <w:p>
      <w:pPr>
        <w:widowControl/>
        <w:spacing w:line="560" w:lineRule="exact"/>
        <w:ind w:firstLine="640" w:firstLineChars="200"/>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3.强化大学生就业引导和帮扶</w:t>
      </w:r>
    </w:p>
    <w:p>
      <w:pPr>
        <w:widowControl/>
        <w:spacing w:line="560" w:lineRule="exact"/>
        <w:ind w:firstLine="640" w:firstLineChars="200"/>
        <w:rPr>
          <w:rFonts w:ascii="仿宋_GB2312" w:hAnsi="仿宋_GB2312" w:eastAsia="仿宋_GB2312" w:cs="仿宋_GB2312"/>
          <w:color w:val="000000"/>
          <w:kern w:val="0"/>
          <w:sz w:val="32"/>
          <w:szCs w:val="32"/>
          <w:highlight w:val="yellow"/>
          <w:lang w:bidi="ar"/>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深化实施共青团促进大学生就业行动，加强与企业沟通合作，指导带动各级团组织积极对接相关企业。制定务实管用举措，开展影响广泛青年受益的就业服务活动，推进团团微就业工作落地落实。坚持帮扶困难学生，年度内通过团干部帮扶等途径计划帮扶35位家庭困难学生实现顺利就业。为大学生就业提供更多实际支持。加强就业观念引导，鼓励各级团组织开设就业指导和生涯规划类讲座，帮助学生树立正确的就业观、择业观，引导大学生积极就业、理性就业。</w:t>
      </w:r>
    </w:p>
    <w:p>
      <w:pPr>
        <w:widowControl/>
        <w:spacing w:line="560" w:lineRule="exact"/>
        <w:ind w:firstLine="640" w:firstLineChars="200"/>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4.激发学校学生会和社团育人活力</w:t>
      </w:r>
    </w:p>
    <w:p>
      <w:pPr>
        <w:pStyle w:val="2"/>
        <w:tabs>
          <w:tab w:val="left" w:pos="312"/>
        </w:tabs>
        <w:spacing w:line="560" w:lineRule="exact"/>
        <w:ind w:firstLine="640" w:firstLineChars="200"/>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lang w:bidi="ar"/>
        </w:rPr>
        <w:t>加强学生会示范引领作用，发挥学生骨干“传帮带”示范引领作用、发挥朋辈引领榜样作用，培养和壮大学生会组织队伍建设。广泛开展学生会“我为同学做实事”服务项目不少于5项，强化服务同学项目示范引领。优化学生会组织运行模式，调动校、系两级学生会力量，完善项目志愿者工作机制，激发学生会组织活力。</w:t>
      </w:r>
      <w:r>
        <w:rPr>
          <w:rFonts w:hint="eastAsia" w:ascii="仿宋_GB2312" w:hAnsi="仿宋" w:eastAsia="仿宋_GB2312" w:cs="仿宋"/>
          <w:color w:val="000000" w:themeColor="text1"/>
          <w:shd w:val="clear" w:color="auto" w:fill="FFFFFF"/>
          <w14:textFill>
            <w14:solidFill>
              <w14:schemeClr w14:val="tx1"/>
            </w14:solidFill>
          </w14:textFill>
        </w:rPr>
        <w:t>规范召开</w:t>
      </w:r>
      <w:r>
        <w:rPr>
          <w:rFonts w:hint="eastAsia" w:ascii="仿宋_GB2312" w:hAnsi="仿宋" w:eastAsia="仿宋_GB2312" w:cs="仿宋"/>
          <w:bCs/>
          <w:color w:val="000000" w:themeColor="text1"/>
          <w14:textFill>
            <w14:solidFill>
              <w14:schemeClr w14:val="tx1"/>
            </w14:solidFill>
          </w14:textFill>
        </w:rPr>
        <w:t>第十二次学生代表大会，指导、督促各级团组织进一步健全完善团学代表大会制度，进一步完善学生会、学生社团的建设运行、考核评价体系，不断提升团学组织协同服务学生核心成长需求的水平。在新媒体平台</w:t>
      </w:r>
      <w:r>
        <w:rPr>
          <w:rFonts w:hint="eastAsia" w:ascii="仿宋_GB2312" w:hAnsi="仿宋_GB2312" w:eastAsia="仿宋_GB2312" w:cs="仿宋_GB2312"/>
          <w:color w:val="000000"/>
          <w:kern w:val="0"/>
          <w:lang w:bidi="ar"/>
        </w:rPr>
        <w:t>开展学校活力社团风采展示活动、社团嘉年华活动，学生社团日常开展活动每月不少于3次。引导学生社团积极参与社区实践、志愿服务、创新创造、校园文化等各类实践活动，提升学生社团育人实效。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四、强化党建带团建工作机制纵深推进学校团学改革建设</w:t>
      </w:r>
    </w:p>
    <w:p>
      <w:pPr>
        <w:widowControl/>
        <w:spacing w:line="560" w:lineRule="exact"/>
        <w:ind w:firstLine="640" w:firstLineChars="200"/>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1.坚持和加强党的领导</w:t>
      </w:r>
    </w:p>
    <w:p>
      <w:pPr>
        <w:widowControl/>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坚持党的全面领导，推动共青团工作纳入学校党的建设和思想政治工作总体格局、积极争取学校党委对学生会、社团的领导和支持，强化工作基础保障。</w:t>
      </w:r>
    </w:p>
    <w:p>
      <w:pPr>
        <w:widowControl/>
        <w:spacing w:line="560" w:lineRule="exact"/>
        <w:ind w:firstLine="640" w:firstLineChars="200"/>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2.健全和完善团的指导机制</w:t>
      </w:r>
    </w:p>
    <w:p>
      <w:pPr>
        <w:widowControl/>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推动高校共青团聚焦思想政治引领主责主业，在学校“三全育人”工作格局中充分发挥主力军作用。落实学校团委、系团总支对学生会、社团的指导管理责任，坚持全面从严治会，巩固清新阳光的组织形象；加强社团规范化管理，巩固社团功能型团支部建设，更好发挥政治引领作用。</w:t>
      </w:r>
    </w:p>
    <w:p>
      <w:pPr>
        <w:widowControl/>
        <w:spacing w:line="560" w:lineRule="exact"/>
        <w:ind w:firstLine="640" w:firstLineChars="200"/>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3.强化团干部队伍建设</w:t>
      </w:r>
    </w:p>
    <w:p>
      <w:pPr>
        <w:pStyle w:val="2"/>
        <w:spacing w:line="560" w:lineRule="exact"/>
        <w:ind w:firstLine="640" w:firstLineChars="200"/>
        <w:rPr>
          <w:rFonts w:ascii="楷体" w:hAnsi="楷体" w:eastAsia="楷体" w:cs="楷体"/>
          <w:color w:val="000000" w:themeColor="text1"/>
          <w:kern w:val="0"/>
          <w:lang w:bidi="ar"/>
          <w14:textFill>
            <w14:solidFill>
              <w14:schemeClr w14:val="tx1"/>
            </w14:solidFill>
          </w14:textFill>
        </w:rPr>
      </w:pPr>
      <w:r>
        <w:rPr>
          <w:rFonts w:hint="eastAsia" w:ascii="仿宋_GB2312" w:hAnsi="仿宋_GB2312" w:eastAsia="仿宋_GB2312" w:cs="仿宋_GB2312"/>
          <w:color w:val="000000" w:themeColor="text1"/>
          <w:kern w:val="0"/>
          <w:lang w:bidi="ar"/>
          <w14:textFill>
            <w14:solidFill>
              <w14:schemeClr w14:val="tx1"/>
            </w14:solidFill>
          </w14:textFill>
        </w:rPr>
        <w:t>深入学习习近平总书记关于年轻干部和团干部的重要要求，教育各级团干部提高政治能力、增强事业心。</w:t>
      </w:r>
      <w:r>
        <w:rPr>
          <w:rFonts w:hint="eastAsia" w:ascii="仿宋_GB2312" w:hAnsi="仿宋_GB2312" w:eastAsia="仿宋_GB2312" w:cs="仿宋_GB2312"/>
          <w:color w:val="000000"/>
          <w:kern w:val="0"/>
          <w:lang w:bidi="ar"/>
        </w:rPr>
        <w:t>组织召开共青团山东电子职业技术学院第四次代表大会、完成学校团委换届。</w:t>
      </w:r>
      <w:r>
        <w:rPr>
          <w:rFonts w:hint="eastAsia" w:ascii="仿宋_GB2312" w:hAnsi="仿宋_GB2312" w:eastAsia="仿宋_GB2312" w:cs="仿宋_GB2312"/>
          <w:color w:val="000000" w:themeColor="text1"/>
          <w:kern w:val="0"/>
          <w:lang w:bidi="ar"/>
          <w14:textFill>
            <w14:solidFill>
              <w14:schemeClr w14:val="tx1"/>
            </w14:solidFill>
          </w14:textFill>
        </w:rPr>
        <w:t>推动各级团组织适应青年工作需要特点，配齐配强工作力量，强化工作考核。完善深入各级团组织调查研究、密切联系青年等机制，组织开展专题化调研10项，锤炼严实作风，增强与青年感情，锻造忠诚干净担当的团干部队伍。</w:t>
      </w:r>
    </w:p>
    <w:p>
      <w:pPr>
        <w:widowControl/>
        <w:spacing w:line="560" w:lineRule="exact"/>
        <w:ind w:firstLine="640" w:firstLineChars="200"/>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4.为党培养输送新鲜血液</w:t>
      </w:r>
    </w:p>
    <w:p>
      <w:pPr>
        <w:widowControl/>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规范和加强共青团推优入党工作机制，牢固树立“先育再推、推后接育、推育结合〞培养理念，把立足点放在对团员的培养教育上。加强团员队伍建设，提高发展力度，规范团员教育评议、团内仪式教育，加强团员实践教育，不断提升团员先进性。深化新时代青年马克思主义者培养工程，加强对学员的思想淬炼、政治历练、实践锻炼、专业训练。培养一批青年讲师团、大学生理论宣讲团。</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五、健全风险防范化解机制坚决维护学校政治安全和意识形态安全</w:t>
      </w:r>
    </w:p>
    <w:p>
      <w:pPr>
        <w:widowControl/>
        <w:spacing w:line="560" w:lineRule="exact"/>
        <w:ind w:firstLine="640" w:firstLineChars="200"/>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1.健全大学生思想动态研究机制</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加强调查研究，全面、真实、立体地把握团员青年思想动向，更好地为党的青年工作、为学校党委提供决策参考。举办不少于30次各级团干部例会，及时掌握学校共青团重点工作进展和学生思想动态。</w:t>
      </w:r>
    </w:p>
    <w:p>
      <w:pPr>
        <w:widowControl/>
        <w:spacing w:line="560" w:lineRule="exact"/>
        <w:ind w:firstLine="640" w:firstLineChars="200"/>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2.完善风险防范化解制度机制</w:t>
      </w:r>
    </w:p>
    <w:p>
      <w:pPr>
        <w:pStyle w:val="2"/>
        <w:spacing w:line="560" w:lineRule="exact"/>
        <w:ind w:firstLine="640" w:firstLineChars="200"/>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lang w:bidi="ar"/>
        </w:rPr>
        <w:t>强化意识形态工作责任制落实，严格执行请示报告制度。建好网络信息员队伍。</w:t>
      </w:r>
      <w:r>
        <w:rPr>
          <w:rFonts w:hint="eastAsia" w:ascii="仿宋" w:hAnsi="仿宋" w:eastAsia="仿宋" w:cs="仿宋"/>
          <w:color w:val="000000" w:themeColor="text1"/>
          <w14:textFill>
            <w14:solidFill>
              <w14:schemeClr w14:val="tx1"/>
            </w14:solidFill>
          </w14:textFill>
        </w:rPr>
        <w:t>持续加强以公众号、视频号、抖音号为基础，</w:t>
      </w:r>
      <w:r>
        <w:rPr>
          <w:rFonts w:hint="eastAsia" w:ascii="仿宋_GB2312" w:hAnsi="仿宋_GB2312" w:eastAsia="仿宋_GB2312" w:cs="仿宋_GB2312"/>
          <w:color w:val="000000"/>
          <w:kern w:val="0"/>
          <w:lang w:bidi="ar"/>
        </w:rPr>
        <w:t>其他新兴平台差异发展、齐头并进的学校团属新媒体阵地群，不断保持和扩大网络宣传优势，积极推动青年网络文化产品产出。持续盯紧意识形态工作，定期做好青年思想动态的摸排检测工作，建立清晰的分类工作台账，加强重点关注，加强网络舆情监控，结合国家宪法日、“学宪法讲宪法”比赛等主题活动，深化法制教育、国家安全教育和国防教育。</w:t>
      </w:r>
    </w:p>
    <w:p>
      <w:pPr>
        <w:pStyle w:val="2"/>
        <w:spacing w:line="560" w:lineRule="exact"/>
        <w:ind w:firstLine="640" w:firstLineChars="200"/>
        <w:rPr>
          <w:rFonts w:ascii="仿宋_GB2312" w:hAnsi="仿宋_GB2312" w:eastAsia="仿宋_GB2312" w:cs="仿宋_GB2312"/>
          <w:color w:val="000000"/>
          <w:kern w:val="0"/>
          <w:lang w:bidi="ar"/>
        </w:rPr>
      </w:pPr>
    </w:p>
    <w:p>
      <w:pPr>
        <w:widowControl/>
        <w:ind w:firstLine="640" w:firstLineChars="200"/>
        <w:rPr>
          <w:rFonts w:ascii="仿宋_GB2312" w:hAnsi="仿宋_GB2312" w:eastAsia="仿宋_GB2312" w:cs="仿宋_GB2312"/>
          <w:color w:val="000000"/>
          <w:kern w:val="0"/>
          <w:sz w:val="32"/>
          <w:szCs w:val="32"/>
          <w:lang w:bidi="ar"/>
        </w:rPr>
      </w:pPr>
    </w:p>
    <w:p>
      <w:pPr>
        <w:widowControl/>
        <w:ind w:firstLine="640" w:firstLineChars="200"/>
        <w:rPr>
          <w:rFonts w:ascii="仿宋_GB2312" w:hAnsi="仿宋_GB2312" w:eastAsia="仿宋_GB2312" w:cs="仿宋_GB2312"/>
          <w:color w:val="000000"/>
          <w:kern w:val="0"/>
          <w:sz w:val="32"/>
          <w:szCs w:val="32"/>
          <w:lang w:bidi="ar"/>
        </w:rPr>
      </w:pPr>
    </w:p>
    <w:p>
      <w:pPr>
        <w:widowControl/>
        <w:ind w:firstLine="640" w:firstLineChars="200"/>
        <w:rPr>
          <w:rFonts w:ascii="仿宋_GB2312" w:hAnsi="仿宋_GB2312" w:eastAsia="仿宋_GB2312" w:cs="仿宋_GB2312"/>
          <w:color w:val="000000"/>
          <w:kern w:val="0"/>
          <w:sz w:val="32"/>
          <w:szCs w:val="32"/>
          <w:lang w:bidi="ar"/>
        </w:rPr>
        <w:sectPr>
          <w:pgSz w:w="11906" w:h="16838"/>
          <w:pgMar w:top="1440" w:right="1800" w:bottom="1440" w:left="1800" w:header="851" w:footer="992" w:gutter="0"/>
          <w:cols w:space="425" w:num="1"/>
          <w:docGrid w:type="lines" w:linePitch="312" w:charSpace="0"/>
        </w:sectPr>
      </w:pPr>
    </w:p>
    <w:p>
      <w:pPr>
        <w:spacing w:line="520" w:lineRule="exact"/>
        <w:rPr>
          <w:rFonts w:ascii="黑体" w:hAnsi="黑体" w:eastAsia="黑体" w:cs="黑体"/>
          <w:sz w:val="32"/>
          <w:szCs w:val="32"/>
        </w:rPr>
      </w:pPr>
      <w:r>
        <w:rPr>
          <w:rFonts w:hint="eastAsia" w:ascii="黑体" w:hAnsi="黑体" w:eastAsia="黑体" w:cs="黑体"/>
          <w:sz w:val="32"/>
          <w:szCs w:val="32"/>
        </w:rPr>
        <w:t xml:space="preserve">附件 </w:t>
      </w:r>
    </w:p>
    <w:p>
      <w:pPr>
        <w:spacing w:line="520" w:lineRule="exact"/>
        <w:jc w:val="center"/>
        <w:rPr>
          <w:rFonts w:ascii="黑体" w:hAnsi="黑体" w:eastAsia="黑体" w:cs="黑体"/>
          <w:sz w:val="36"/>
          <w:szCs w:val="36"/>
        </w:rPr>
      </w:pPr>
      <w:r>
        <w:rPr>
          <w:rFonts w:hint="eastAsia" w:ascii="黑体" w:hAnsi="黑体" w:eastAsia="黑体" w:cs="黑体"/>
          <w:sz w:val="36"/>
          <w:szCs w:val="36"/>
        </w:rPr>
        <w:t>2024年共青团重点工作配档表</w:t>
      </w:r>
    </w:p>
    <w:p>
      <w:pPr>
        <w:spacing w:line="520" w:lineRule="exact"/>
        <w:jc w:val="center"/>
        <w:rPr>
          <w:rFonts w:ascii="仿宋_GB2312" w:hAnsi="黑体" w:eastAsia="仿宋_GB2312" w:cs="黑体"/>
          <w:sz w:val="32"/>
          <w:szCs w:val="32"/>
        </w:rPr>
      </w:pPr>
    </w:p>
    <w:tbl>
      <w:tblPr>
        <w:tblStyle w:val="5"/>
        <w:tblpPr w:leftFromText="180" w:rightFromText="180" w:vertAnchor="text" w:horzAnchor="page" w:tblpX="1716" w:tblpY="301"/>
        <w:tblOverlap w:val="never"/>
        <w:tblW w:w="13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6720"/>
        <w:gridCol w:w="2520"/>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jc w:val="center"/>
              <w:rPr>
                <w:rFonts w:ascii="仿宋" w:hAnsi="仿宋" w:eastAsia="仿宋" w:cs="仿宋"/>
                <w:b/>
                <w:sz w:val="32"/>
                <w:szCs w:val="32"/>
              </w:rPr>
            </w:pPr>
            <w:r>
              <w:rPr>
                <w:rFonts w:hint="eastAsia" w:ascii="仿宋" w:hAnsi="仿宋" w:eastAsia="仿宋" w:cs="仿宋"/>
                <w:b/>
                <w:sz w:val="32"/>
                <w:szCs w:val="32"/>
              </w:rPr>
              <w:t>分类</w:t>
            </w:r>
          </w:p>
        </w:tc>
        <w:tc>
          <w:tcPr>
            <w:tcW w:w="6720" w:type="dxa"/>
          </w:tcPr>
          <w:p>
            <w:pPr>
              <w:jc w:val="center"/>
              <w:rPr>
                <w:rFonts w:ascii="仿宋" w:hAnsi="仿宋" w:eastAsia="仿宋" w:cs="仿宋"/>
                <w:b/>
                <w:sz w:val="32"/>
                <w:szCs w:val="32"/>
              </w:rPr>
            </w:pPr>
            <w:r>
              <w:rPr>
                <w:rFonts w:hint="eastAsia" w:ascii="仿宋" w:hAnsi="仿宋" w:eastAsia="仿宋" w:cs="仿宋"/>
                <w:b/>
                <w:sz w:val="32"/>
                <w:szCs w:val="32"/>
              </w:rPr>
              <w:t>工作内容</w:t>
            </w:r>
          </w:p>
        </w:tc>
        <w:tc>
          <w:tcPr>
            <w:tcW w:w="2520" w:type="dxa"/>
            <w:vAlign w:val="center"/>
          </w:tcPr>
          <w:p>
            <w:pPr>
              <w:jc w:val="center"/>
              <w:rPr>
                <w:rFonts w:ascii="仿宋" w:hAnsi="仿宋" w:eastAsia="仿宋" w:cs="仿宋"/>
                <w:b/>
                <w:sz w:val="32"/>
                <w:szCs w:val="32"/>
              </w:rPr>
            </w:pPr>
            <w:r>
              <w:rPr>
                <w:rFonts w:hint="eastAsia" w:ascii="仿宋" w:hAnsi="仿宋" w:eastAsia="仿宋" w:cs="仿宋"/>
                <w:b/>
                <w:sz w:val="32"/>
                <w:szCs w:val="32"/>
              </w:rPr>
              <w:t>完成时限</w:t>
            </w:r>
          </w:p>
        </w:tc>
        <w:tc>
          <w:tcPr>
            <w:tcW w:w="2850" w:type="dxa"/>
            <w:vAlign w:val="center"/>
          </w:tcPr>
          <w:p>
            <w:pPr>
              <w:jc w:val="center"/>
              <w:rPr>
                <w:rFonts w:ascii="仿宋" w:hAnsi="仿宋" w:eastAsia="仿宋" w:cs="仿宋"/>
                <w:b/>
                <w:sz w:val="32"/>
                <w:szCs w:val="32"/>
              </w:rPr>
            </w:pPr>
            <w:r>
              <w:rPr>
                <w:rFonts w:hint="eastAsia" w:ascii="仿宋" w:hAnsi="仿宋" w:eastAsia="仿宋" w:cs="仿宋"/>
                <w:b/>
                <w:sz w:val="32"/>
                <w:szCs w:val="32"/>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Merge w:val="restart"/>
            <w:vAlign w:val="center"/>
          </w:tcPr>
          <w:p>
            <w:pPr>
              <w:jc w:val="center"/>
              <w:rPr>
                <w:rFonts w:ascii="仿宋" w:hAnsi="仿宋" w:eastAsia="仿宋" w:cs="仿宋"/>
                <w:sz w:val="24"/>
              </w:rPr>
            </w:pPr>
            <w:r>
              <w:rPr>
                <w:rFonts w:hint="eastAsia" w:ascii="仿宋" w:hAnsi="仿宋" w:eastAsia="仿宋" w:cs="仿宋"/>
                <w:sz w:val="24"/>
              </w:rPr>
              <w:t>学生管理与服务工作</w:t>
            </w:r>
          </w:p>
        </w:tc>
        <w:tc>
          <w:tcPr>
            <w:tcW w:w="6720" w:type="dxa"/>
            <w:vAlign w:val="bottom"/>
          </w:tcPr>
          <w:p>
            <w:pPr>
              <w:spacing w:after="156" w:afterLines="50"/>
              <w:jc w:val="center"/>
              <w:rPr>
                <w:rFonts w:ascii="仿宋" w:hAnsi="仿宋" w:eastAsia="仿宋" w:cs="仿宋"/>
                <w:sz w:val="24"/>
              </w:rPr>
            </w:pPr>
            <w:r>
              <w:rPr>
                <w:rFonts w:hint="eastAsia" w:ascii="仿宋" w:hAnsi="仿宋" w:eastAsia="仿宋" w:cs="仿宋"/>
                <w:sz w:val="24"/>
              </w:rPr>
              <w:t>深化实施“青年大学习”、“青马工程”培训</w:t>
            </w:r>
          </w:p>
        </w:tc>
        <w:tc>
          <w:tcPr>
            <w:tcW w:w="2520" w:type="dxa"/>
            <w:vAlign w:val="bottom"/>
          </w:tcPr>
          <w:p>
            <w:pPr>
              <w:spacing w:after="156" w:afterLines="50"/>
              <w:jc w:val="center"/>
              <w:rPr>
                <w:rFonts w:ascii="仿宋" w:hAnsi="仿宋" w:eastAsia="仿宋" w:cs="仿宋"/>
                <w:sz w:val="24"/>
              </w:rPr>
            </w:pPr>
            <w:r>
              <w:rPr>
                <w:rFonts w:hint="eastAsia" w:ascii="仿宋" w:hAnsi="仿宋" w:eastAsia="仿宋" w:cs="仿宋"/>
                <w:sz w:val="24"/>
              </w:rPr>
              <w:t>全年</w:t>
            </w:r>
          </w:p>
        </w:tc>
        <w:tc>
          <w:tcPr>
            <w:tcW w:w="2850" w:type="dxa"/>
            <w:vAlign w:val="bottom"/>
          </w:tcPr>
          <w:p>
            <w:pPr>
              <w:spacing w:after="156" w:afterLines="50"/>
              <w:jc w:val="center"/>
              <w:rPr>
                <w:rFonts w:ascii="仿宋" w:hAnsi="仿宋" w:eastAsia="仿宋" w:cs="仿宋"/>
                <w:sz w:val="24"/>
              </w:rPr>
            </w:pPr>
            <w:r>
              <w:rPr>
                <w:rFonts w:hint="eastAsia" w:ascii="仿宋" w:hAnsi="仿宋" w:eastAsia="仿宋" w:cs="仿宋"/>
                <w:sz w:val="24"/>
              </w:rPr>
              <w:t>团委、各系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Merge w:val="continue"/>
            <w:vAlign w:val="center"/>
          </w:tcPr>
          <w:p>
            <w:pPr>
              <w:jc w:val="center"/>
              <w:rPr>
                <w:rFonts w:ascii="仿宋" w:hAnsi="仿宋" w:eastAsia="仿宋" w:cs="仿宋"/>
                <w:sz w:val="28"/>
                <w:szCs w:val="28"/>
              </w:rPr>
            </w:pPr>
          </w:p>
        </w:tc>
        <w:tc>
          <w:tcPr>
            <w:tcW w:w="6720" w:type="dxa"/>
            <w:vAlign w:val="bottom"/>
          </w:tcPr>
          <w:p>
            <w:pPr>
              <w:spacing w:after="156" w:afterLines="50"/>
              <w:jc w:val="center"/>
              <w:rPr>
                <w:rFonts w:ascii="仿宋" w:hAnsi="仿宋" w:eastAsia="仿宋" w:cs="仿宋"/>
                <w:sz w:val="24"/>
              </w:rPr>
            </w:pPr>
            <w:r>
              <w:rPr>
                <w:rFonts w:hint="eastAsia" w:ascii="仿宋" w:hAnsi="仿宋" w:eastAsia="仿宋" w:cs="仿宋"/>
                <w:sz w:val="24"/>
              </w:rPr>
              <w:t>组织开展龙泉讲坛系列讲座</w:t>
            </w:r>
          </w:p>
        </w:tc>
        <w:tc>
          <w:tcPr>
            <w:tcW w:w="2520" w:type="dxa"/>
            <w:vAlign w:val="bottom"/>
          </w:tcPr>
          <w:p>
            <w:pPr>
              <w:spacing w:after="156" w:afterLines="50"/>
              <w:jc w:val="center"/>
              <w:rPr>
                <w:rFonts w:ascii="仿宋" w:hAnsi="仿宋" w:eastAsia="仿宋" w:cs="仿宋"/>
                <w:sz w:val="24"/>
              </w:rPr>
            </w:pPr>
            <w:r>
              <w:rPr>
                <w:rFonts w:hint="eastAsia" w:ascii="仿宋" w:hAnsi="仿宋" w:eastAsia="仿宋" w:cs="仿宋"/>
                <w:sz w:val="24"/>
              </w:rPr>
              <w:t>全年</w:t>
            </w:r>
          </w:p>
        </w:tc>
        <w:tc>
          <w:tcPr>
            <w:tcW w:w="2850" w:type="dxa"/>
            <w:vAlign w:val="bottom"/>
          </w:tcPr>
          <w:p>
            <w:pPr>
              <w:spacing w:after="156" w:afterLines="50"/>
              <w:jc w:val="center"/>
              <w:rPr>
                <w:rFonts w:ascii="仿宋" w:hAnsi="仿宋" w:eastAsia="仿宋" w:cs="仿宋"/>
                <w:sz w:val="24"/>
              </w:rPr>
            </w:pPr>
            <w:r>
              <w:rPr>
                <w:rFonts w:hint="eastAsia" w:ascii="仿宋" w:hAnsi="仿宋" w:eastAsia="仿宋" w:cs="仿宋"/>
                <w:sz w:val="24"/>
              </w:rPr>
              <w:t>团委、各系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Merge w:val="continue"/>
            <w:vAlign w:val="center"/>
          </w:tcPr>
          <w:p>
            <w:pPr>
              <w:jc w:val="center"/>
              <w:rPr>
                <w:rFonts w:ascii="仿宋" w:hAnsi="仿宋" w:eastAsia="仿宋" w:cs="仿宋"/>
                <w:sz w:val="28"/>
                <w:szCs w:val="28"/>
              </w:rPr>
            </w:pPr>
          </w:p>
        </w:tc>
        <w:tc>
          <w:tcPr>
            <w:tcW w:w="6720" w:type="dxa"/>
            <w:vAlign w:val="bottom"/>
          </w:tcPr>
          <w:p>
            <w:pPr>
              <w:spacing w:after="156" w:afterLines="50"/>
              <w:jc w:val="center"/>
              <w:rPr>
                <w:rFonts w:ascii="仿宋" w:hAnsi="仿宋" w:eastAsia="仿宋" w:cs="仿宋"/>
                <w:sz w:val="24"/>
              </w:rPr>
            </w:pPr>
            <w:r>
              <w:rPr>
                <w:rFonts w:hint="eastAsia" w:ascii="仿宋" w:hAnsi="仿宋" w:eastAsia="仿宋" w:cs="仿宋"/>
                <w:sz w:val="24"/>
              </w:rPr>
              <w:t>组织开展“五月的花海”文化艺术节</w:t>
            </w:r>
          </w:p>
        </w:tc>
        <w:tc>
          <w:tcPr>
            <w:tcW w:w="2520" w:type="dxa"/>
            <w:vAlign w:val="bottom"/>
          </w:tcPr>
          <w:p>
            <w:pPr>
              <w:spacing w:after="156" w:afterLines="50"/>
              <w:jc w:val="center"/>
              <w:rPr>
                <w:rFonts w:ascii="仿宋" w:hAnsi="仿宋" w:eastAsia="仿宋" w:cs="仿宋"/>
                <w:sz w:val="24"/>
              </w:rPr>
            </w:pPr>
            <w:r>
              <w:rPr>
                <w:rFonts w:hint="eastAsia" w:ascii="仿宋" w:hAnsi="仿宋" w:eastAsia="仿宋" w:cs="仿宋"/>
                <w:sz w:val="24"/>
              </w:rPr>
              <w:t>6月</w:t>
            </w:r>
          </w:p>
        </w:tc>
        <w:tc>
          <w:tcPr>
            <w:tcW w:w="2850" w:type="dxa"/>
            <w:vAlign w:val="bottom"/>
          </w:tcPr>
          <w:p>
            <w:pPr>
              <w:spacing w:after="156" w:afterLines="50"/>
              <w:jc w:val="center"/>
              <w:rPr>
                <w:rFonts w:ascii="仿宋" w:hAnsi="仿宋" w:eastAsia="仿宋" w:cs="仿宋"/>
                <w:sz w:val="24"/>
              </w:rPr>
            </w:pPr>
            <w:r>
              <w:rPr>
                <w:rFonts w:hint="eastAsia" w:ascii="仿宋" w:hAnsi="仿宋" w:eastAsia="仿宋" w:cs="仿宋"/>
                <w:sz w:val="24"/>
              </w:rPr>
              <w:t>团委、各系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Merge w:val="continue"/>
            <w:vAlign w:val="center"/>
          </w:tcPr>
          <w:p>
            <w:pPr>
              <w:jc w:val="center"/>
              <w:rPr>
                <w:rFonts w:ascii="仿宋" w:hAnsi="仿宋" w:eastAsia="仿宋" w:cs="仿宋"/>
                <w:sz w:val="28"/>
                <w:szCs w:val="28"/>
              </w:rPr>
            </w:pPr>
          </w:p>
        </w:tc>
        <w:tc>
          <w:tcPr>
            <w:tcW w:w="6720" w:type="dxa"/>
            <w:vAlign w:val="bottom"/>
          </w:tcPr>
          <w:p>
            <w:pPr>
              <w:spacing w:after="156" w:afterLines="50"/>
              <w:jc w:val="center"/>
              <w:rPr>
                <w:rFonts w:ascii="仿宋" w:hAnsi="仿宋" w:eastAsia="仿宋" w:cs="仿宋"/>
                <w:sz w:val="24"/>
              </w:rPr>
            </w:pPr>
            <w:r>
              <w:rPr>
                <w:rFonts w:hint="eastAsia" w:ascii="仿宋" w:hAnsi="仿宋" w:eastAsia="仿宋" w:cs="仿宋"/>
                <w:sz w:val="24"/>
              </w:rPr>
              <w:t>深入组织开展暑期“三下乡”、百万大学生进社区社会实践</w:t>
            </w:r>
          </w:p>
        </w:tc>
        <w:tc>
          <w:tcPr>
            <w:tcW w:w="2520" w:type="dxa"/>
            <w:vAlign w:val="bottom"/>
          </w:tcPr>
          <w:p>
            <w:pPr>
              <w:spacing w:after="156" w:afterLines="50"/>
              <w:jc w:val="center"/>
              <w:rPr>
                <w:rFonts w:ascii="仿宋" w:hAnsi="仿宋" w:eastAsia="仿宋" w:cs="仿宋"/>
                <w:sz w:val="24"/>
              </w:rPr>
            </w:pPr>
            <w:r>
              <w:rPr>
                <w:rFonts w:hint="eastAsia" w:ascii="仿宋" w:hAnsi="仿宋" w:eastAsia="仿宋" w:cs="仿宋"/>
                <w:sz w:val="24"/>
              </w:rPr>
              <w:t>9月</w:t>
            </w:r>
          </w:p>
        </w:tc>
        <w:tc>
          <w:tcPr>
            <w:tcW w:w="2850" w:type="dxa"/>
            <w:vAlign w:val="bottom"/>
          </w:tcPr>
          <w:p>
            <w:pPr>
              <w:spacing w:after="156" w:afterLines="50"/>
              <w:jc w:val="center"/>
              <w:rPr>
                <w:rFonts w:ascii="仿宋" w:hAnsi="仿宋" w:eastAsia="仿宋" w:cs="仿宋"/>
                <w:sz w:val="24"/>
              </w:rPr>
            </w:pPr>
            <w:r>
              <w:rPr>
                <w:rFonts w:hint="eastAsia" w:ascii="仿宋" w:hAnsi="仿宋" w:eastAsia="仿宋" w:cs="仿宋"/>
                <w:sz w:val="24"/>
              </w:rPr>
              <w:t>团委、各系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05" w:type="dxa"/>
            <w:vMerge w:val="continue"/>
            <w:vAlign w:val="center"/>
          </w:tcPr>
          <w:p>
            <w:pPr>
              <w:jc w:val="center"/>
              <w:rPr>
                <w:rFonts w:ascii="仿宋" w:hAnsi="仿宋" w:eastAsia="仿宋" w:cs="仿宋"/>
                <w:sz w:val="28"/>
                <w:szCs w:val="28"/>
              </w:rPr>
            </w:pPr>
          </w:p>
        </w:tc>
        <w:tc>
          <w:tcPr>
            <w:tcW w:w="6720" w:type="dxa"/>
            <w:vAlign w:val="bottom"/>
          </w:tcPr>
          <w:p>
            <w:pPr>
              <w:spacing w:after="156" w:afterLines="50"/>
              <w:jc w:val="center"/>
              <w:rPr>
                <w:rFonts w:ascii="仿宋" w:hAnsi="仿宋" w:eastAsia="仿宋" w:cs="仿宋"/>
                <w:sz w:val="24"/>
              </w:rPr>
            </w:pPr>
            <w:r>
              <w:rPr>
                <w:rFonts w:hint="eastAsia" w:ascii="仿宋" w:hAnsi="仿宋" w:eastAsia="仿宋" w:cs="仿宋"/>
                <w:sz w:val="24"/>
              </w:rPr>
              <w:t>组织召开共青团山东电子职业技术学院第四次代表大会、第十二次学生代表大会</w:t>
            </w:r>
          </w:p>
        </w:tc>
        <w:tc>
          <w:tcPr>
            <w:tcW w:w="2520" w:type="dxa"/>
            <w:vAlign w:val="bottom"/>
          </w:tcPr>
          <w:p>
            <w:pPr>
              <w:spacing w:after="156" w:afterLines="50"/>
              <w:jc w:val="center"/>
              <w:rPr>
                <w:rFonts w:ascii="仿宋" w:hAnsi="仿宋" w:eastAsia="仿宋" w:cs="仿宋"/>
                <w:sz w:val="24"/>
              </w:rPr>
            </w:pPr>
            <w:r>
              <w:rPr>
                <w:rFonts w:hint="eastAsia" w:ascii="仿宋" w:hAnsi="仿宋" w:eastAsia="仿宋" w:cs="仿宋"/>
                <w:sz w:val="24"/>
              </w:rPr>
              <w:t>12月</w:t>
            </w:r>
          </w:p>
        </w:tc>
        <w:tc>
          <w:tcPr>
            <w:tcW w:w="2850" w:type="dxa"/>
            <w:vAlign w:val="bottom"/>
          </w:tcPr>
          <w:p>
            <w:pPr>
              <w:spacing w:after="156" w:afterLines="50"/>
              <w:jc w:val="center"/>
              <w:rPr>
                <w:rFonts w:ascii="仿宋" w:hAnsi="仿宋" w:eastAsia="仿宋" w:cs="仿宋"/>
                <w:sz w:val="24"/>
              </w:rPr>
            </w:pPr>
            <w:r>
              <w:rPr>
                <w:rFonts w:hint="eastAsia" w:ascii="仿宋" w:hAnsi="仿宋" w:eastAsia="仿宋" w:cs="仿宋"/>
                <w:sz w:val="24"/>
              </w:rPr>
              <w:t>团委、各系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Merge w:val="continue"/>
            <w:vAlign w:val="center"/>
          </w:tcPr>
          <w:p>
            <w:pPr>
              <w:jc w:val="center"/>
              <w:rPr>
                <w:rFonts w:ascii="仿宋" w:hAnsi="仿宋" w:eastAsia="仿宋" w:cs="仿宋"/>
                <w:sz w:val="28"/>
                <w:szCs w:val="28"/>
              </w:rPr>
            </w:pPr>
          </w:p>
        </w:tc>
        <w:tc>
          <w:tcPr>
            <w:tcW w:w="6720" w:type="dxa"/>
            <w:vAlign w:val="bottom"/>
          </w:tcPr>
          <w:p>
            <w:pPr>
              <w:spacing w:after="156" w:afterLines="50"/>
              <w:jc w:val="center"/>
              <w:rPr>
                <w:rFonts w:ascii="仿宋" w:hAnsi="仿宋" w:eastAsia="仿宋" w:cs="仿宋"/>
                <w:sz w:val="24"/>
              </w:rPr>
            </w:pPr>
            <w:r>
              <w:rPr>
                <w:rFonts w:hint="eastAsia" w:ascii="仿宋" w:hAnsi="仿宋" w:eastAsia="仿宋" w:cs="仿宋"/>
                <w:sz w:val="24"/>
              </w:rPr>
              <w:t>认真落实学校党委、上级团组织部署的其他工作</w:t>
            </w:r>
          </w:p>
        </w:tc>
        <w:tc>
          <w:tcPr>
            <w:tcW w:w="2520" w:type="dxa"/>
            <w:vAlign w:val="bottom"/>
          </w:tcPr>
          <w:p>
            <w:pPr>
              <w:spacing w:after="156" w:afterLines="50"/>
              <w:jc w:val="center"/>
              <w:rPr>
                <w:rFonts w:ascii="仿宋" w:hAnsi="仿宋" w:eastAsia="仿宋" w:cs="仿宋"/>
                <w:sz w:val="24"/>
              </w:rPr>
            </w:pPr>
            <w:r>
              <w:rPr>
                <w:rFonts w:hint="eastAsia" w:ascii="仿宋" w:hAnsi="仿宋" w:eastAsia="仿宋" w:cs="仿宋"/>
                <w:sz w:val="24"/>
              </w:rPr>
              <w:t>12月</w:t>
            </w:r>
          </w:p>
        </w:tc>
        <w:tc>
          <w:tcPr>
            <w:tcW w:w="2850" w:type="dxa"/>
            <w:vAlign w:val="bottom"/>
          </w:tcPr>
          <w:p>
            <w:pPr>
              <w:spacing w:after="156" w:afterLines="50"/>
              <w:jc w:val="center"/>
              <w:rPr>
                <w:rFonts w:ascii="仿宋" w:hAnsi="仿宋" w:eastAsia="仿宋" w:cs="仿宋"/>
                <w:sz w:val="24"/>
              </w:rPr>
            </w:pPr>
            <w:r>
              <w:rPr>
                <w:rFonts w:hint="eastAsia" w:ascii="仿宋" w:hAnsi="仿宋" w:eastAsia="仿宋" w:cs="仿宋"/>
                <w:sz w:val="24"/>
              </w:rPr>
              <w:t>团委、各系</w:t>
            </w:r>
          </w:p>
        </w:tc>
      </w:tr>
    </w:tbl>
    <w:p/>
    <w:p>
      <w:pPr>
        <w:widowControl/>
        <w:ind w:firstLine="640" w:firstLineChars="200"/>
        <w:rPr>
          <w:rFonts w:ascii="仿宋_GB2312" w:hAnsi="仿宋_GB2312" w:eastAsia="仿宋_GB2312" w:cs="仿宋_GB2312"/>
          <w:color w:val="000000"/>
          <w:kern w:val="0"/>
          <w:sz w:val="32"/>
          <w:szCs w:val="32"/>
          <w:lang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51016C-4AC3-44F0-90AF-A2FC217C3C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1257899-1EFD-48EF-95F2-38E09F29E239}"/>
  </w:font>
  <w:font w:name="仿宋_GB2312">
    <w:altName w:val="仿宋"/>
    <w:panose1 w:val="00000000000000000000"/>
    <w:charset w:val="00"/>
    <w:family w:val="auto"/>
    <w:pitch w:val="default"/>
    <w:sig w:usb0="00000000" w:usb1="00000000" w:usb2="00000000" w:usb3="00000000" w:csb0="00000000" w:csb1="00000000"/>
    <w:embedRegular r:id="rId3" w:fontKey="{3E7B2C2D-D0EF-4BFB-A4DD-4EE102A0FD4A}"/>
  </w:font>
  <w:font w:name="华文中宋">
    <w:panose1 w:val="02010600040101010101"/>
    <w:charset w:val="86"/>
    <w:family w:val="auto"/>
    <w:pitch w:val="default"/>
    <w:sig w:usb0="00000287" w:usb1="080F0000" w:usb2="00000000" w:usb3="00000000" w:csb0="0004009F" w:csb1="DFD70000"/>
    <w:embedRegular r:id="rId4" w:fontKey="{44E2B129-7D46-42B2-B282-EEA81206DAE6}"/>
  </w:font>
  <w:font w:name="仿宋">
    <w:panose1 w:val="02010609060101010101"/>
    <w:charset w:val="86"/>
    <w:family w:val="modern"/>
    <w:pitch w:val="default"/>
    <w:sig w:usb0="800002BF" w:usb1="38CF7CFA" w:usb2="00000016" w:usb3="00000000" w:csb0="00040001" w:csb1="00000000"/>
    <w:embedRegular r:id="rId5" w:fontKey="{BA7363D5-3505-4DE4-A93C-9D53BCE855BC}"/>
  </w:font>
  <w:font w:name="楷体">
    <w:panose1 w:val="02010609060101010101"/>
    <w:charset w:val="86"/>
    <w:family w:val="modern"/>
    <w:pitch w:val="default"/>
    <w:sig w:usb0="800002BF" w:usb1="38CF7CFA" w:usb2="00000016" w:usb3="00000000" w:csb0="00040001" w:csb1="00000000"/>
    <w:embedRegular r:id="rId6" w:fontKey="{0279BDD3-ACD0-49F0-917A-05AFAA36693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ZjA3MmRlOWU1NmY4Njk2ZTNkMTVmZWUwMmRkYzEifQ=="/>
    <w:docVar w:name="KSO_WPS_MARK_KEY" w:val="e53ed1b9-3157-4138-a422-d6b11d92d465"/>
  </w:docVars>
  <w:rsids>
    <w:rsidRoot w:val="3869632E"/>
    <w:rsid w:val="002A1BFF"/>
    <w:rsid w:val="003E7E0A"/>
    <w:rsid w:val="00605237"/>
    <w:rsid w:val="00633A3E"/>
    <w:rsid w:val="00641A35"/>
    <w:rsid w:val="00646FDC"/>
    <w:rsid w:val="0067393F"/>
    <w:rsid w:val="006C0386"/>
    <w:rsid w:val="006E425B"/>
    <w:rsid w:val="007052F5"/>
    <w:rsid w:val="00733323"/>
    <w:rsid w:val="007C4324"/>
    <w:rsid w:val="008117CB"/>
    <w:rsid w:val="009444DA"/>
    <w:rsid w:val="009713AB"/>
    <w:rsid w:val="00AC38E6"/>
    <w:rsid w:val="00BA4B8C"/>
    <w:rsid w:val="00C7063E"/>
    <w:rsid w:val="00CE669B"/>
    <w:rsid w:val="00D302F3"/>
    <w:rsid w:val="00D942CC"/>
    <w:rsid w:val="00E0281D"/>
    <w:rsid w:val="00E265B6"/>
    <w:rsid w:val="00E622CF"/>
    <w:rsid w:val="00E8218E"/>
    <w:rsid w:val="00EF420C"/>
    <w:rsid w:val="00F67970"/>
    <w:rsid w:val="00FA0CBB"/>
    <w:rsid w:val="029D0D48"/>
    <w:rsid w:val="03946539"/>
    <w:rsid w:val="05C40AFC"/>
    <w:rsid w:val="05E30CAA"/>
    <w:rsid w:val="09F0285C"/>
    <w:rsid w:val="0B6E1DBA"/>
    <w:rsid w:val="0CB32600"/>
    <w:rsid w:val="0CBF0517"/>
    <w:rsid w:val="0CD06F54"/>
    <w:rsid w:val="0F723557"/>
    <w:rsid w:val="1186526D"/>
    <w:rsid w:val="119F43A3"/>
    <w:rsid w:val="120C7C36"/>
    <w:rsid w:val="12281213"/>
    <w:rsid w:val="156D102B"/>
    <w:rsid w:val="15CE4571"/>
    <w:rsid w:val="165C7082"/>
    <w:rsid w:val="17295B68"/>
    <w:rsid w:val="1B352663"/>
    <w:rsid w:val="1C296AE9"/>
    <w:rsid w:val="1D530C71"/>
    <w:rsid w:val="1ECA7C18"/>
    <w:rsid w:val="1EE2244B"/>
    <w:rsid w:val="1F8B5AF7"/>
    <w:rsid w:val="20712733"/>
    <w:rsid w:val="21C42B58"/>
    <w:rsid w:val="22B4100F"/>
    <w:rsid w:val="24314EDE"/>
    <w:rsid w:val="262A5668"/>
    <w:rsid w:val="26501EB9"/>
    <w:rsid w:val="28046B4F"/>
    <w:rsid w:val="288A5258"/>
    <w:rsid w:val="29CF0A85"/>
    <w:rsid w:val="2C1B509B"/>
    <w:rsid w:val="2C487CF4"/>
    <w:rsid w:val="2DEE4968"/>
    <w:rsid w:val="2E48330B"/>
    <w:rsid w:val="2F397563"/>
    <w:rsid w:val="30313232"/>
    <w:rsid w:val="3090408B"/>
    <w:rsid w:val="31B77A8D"/>
    <w:rsid w:val="32F52A8D"/>
    <w:rsid w:val="330326F6"/>
    <w:rsid w:val="333A41AC"/>
    <w:rsid w:val="355C43F8"/>
    <w:rsid w:val="378F51B7"/>
    <w:rsid w:val="37AC0952"/>
    <w:rsid w:val="3869632E"/>
    <w:rsid w:val="39C9671C"/>
    <w:rsid w:val="3A1E4827"/>
    <w:rsid w:val="3A62636A"/>
    <w:rsid w:val="3C2725F2"/>
    <w:rsid w:val="3E1D6809"/>
    <w:rsid w:val="3FA806EF"/>
    <w:rsid w:val="40AB2A48"/>
    <w:rsid w:val="42CA015E"/>
    <w:rsid w:val="42EF5206"/>
    <w:rsid w:val="433A7A1C"/>
    <w:rsid w:val="449511F9"/>
    <w:rsid w:val="467D1216"/>
    <w:rsid w:val="47503A3F"/>
    <w:rsid w:val="497B3754"/>
    <w:rsid w:val="4F0D7F6D"/>
    <w:rsid w:val="55F64083"/>
    <w:rsid w:val="562A265B"/>
    <w:rsid w:val="566326B9"/>
    <w:rsid w:val="56FC15AA"/>
    <w:rsid w:val="57554A63"/>
    <w:rsid w:val="59E70055"/>
    <w:rsid w:val="5A2428C6"/>
    <w:rsid w:val="5AD44AB6"/>
    <w:rsid w:val="5D5D447A"/>
    <w:rsid w:val="5D846BCA"/>
    <w:rsid w:val="5F045171"/>
    <w:rsid w:val="61A34960"/>
    <w:rsid w:val="61A35F0F"/>
    <w:rsid w:val="61FE79E0"/>
    <w:rsid w:val="624B7144"/>
    <w:rsid w:val="6282547A"/>
    <w:rsid w:val="628A33A3"/>
    <w:rsid w:val="62AD1DE7"/>
    <w:rsid w:val="63262217"/>
    <w:rsid w:val="634B4EA7"/>
    <w:rsid w:val="63737C12"/>
    <w:rsid w:val="640E2967"/>
    <w:rsid w:val="658F5836"/>
    <w:rsid w:val="674E2BD8"/>
    <w:rsid w:val="67CD63CC"/>
    <w:rsid w:val="6AC2424E"/>
    <w:rsid w:val="6BE61923"/>
    <w:rsid w:val="6BE75F78"/>
    <w:rsid w:val="6DF37591"/>
    <w:rsid w:val="6F8E5960"/>
    <w:rsid w:val="6FF64E5D"/>
    <w:rsid w:val="70E565D3"/>
    <w:rsid w:val="71796EC1"/>
    <w:rsid w:val="721F69C3"/>
    <w:rsid w:val="72EB6A51"/>
    <w:rsid w:val="73957612"/>
    <w:rsid w:val="73AE3BFE"/>
    <w:rsid w:val="73DC65DE"/>
    <w:rsid w:val="74897C50"/>
    <w:rsid w:val="75A30F4F"/>
    <w:rsid w:val="789B0239"/>
    <w:rsid w:val="7B804162"/>
    <w:rsid w:val="7CB67720"/>
    <w:rsid w:val="7E8C016F"/>
    <w:rsid w:val="7ECB2833"/>
    <w:rsid w:val="7EFB0BF1"/>
    <w:rsid w:val="7F091DA0"/>
    <w:rsid w:val="7F0A378A"/>
    <w:rsid w:val="7FAC3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rPr>
      <w:sz w:val="32"/>
      <w:szCs w:val="32"/>
    </w:rPr>
  </w:style>
  <w:style w:type="paragraph" w:styleId="3">
    <w:name w:val="footer"/>
    <w:basedOn w:val="1"/>
    <w:autoRedefine/>
    <w:qFormat/>
    <w:uiPriority w:val="99"/>
    <w:pPr>
      <w:tabs>
        <w:tab w:val="center" w:pos="4153"/>
        <w:tab w:val="right" w:pos="8306"/>
      </w:tabs>
      <w:snapToGrid w:val="0"/>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3669</Words>
  <Characters>3736</Characters>
  <Lines>27</Lines>
  <Paragraphs>7</Paragraphs>
  <TotalTime>12</TotalTime>
  <ScaleCrop>false</ScaleCrop>
  <LinksUpToDate>false</LinksUpToDate>
  <CharactersWithSpaces>3762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2024-03-07T05:46:00Z</dcterms:created>
  <dc:creator>Lenovo</dc:creator>
  <cp:lastModifiedBy>WPS_1641689303</cp:lastModifiedBy>
  <dcterms:modified xsi:type="dcterms:W3CDTF">2024-06-27T09:40:48Z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B592F1F352794C429893D6876B6FB572_11</vt:lpwstr>
  </property>
</Properties>
</file>