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附件2:</w:t>
      </w:r>
    </w:p>
    <w:p>
      <w:pPr>
        <w:widowControl w:val="0"/>
        <w:kinsoku/>
        <w:autoSpaceDE/>
        <w:autoSpaceDN/>
        <w:adjustRightInd/>
        <w:snapToGrid/>
        <w:spacing w:line="640" w:lineRule="exact"/>
        <w:jc w:val="center"/>
        <w:textAlignment w:val="auto"/>
        <w:rPr>
          <w:rFonts w:hint="eastAsia" w:ascii="华文中宋" w:hAnsi="华文中宋" w:eastAsia="华文中宋" w:cs="方正小标宋简体"/>
          <w:snapToGrid/>
          <w:kern w:val="2"/>
          <w:sz w:val="36"/>
          <w:szCs w:val="36"/>
          <w:lang w:val="en-US" w:eastAsia="zh-CN"/>
        </w:rPr>
      </w:pPr>
      <w:r>
        <w:rPr>
          <w:rFonts w:hint="eastAsia" w:ascii="华文中宋" w:hAnsi="华文中宋" w:eastAsia="华文中宋" w:cs="方正小标宋简体"/>
          <w:snapToGrid/>
          <w:kern w:val="2"/>
          <w:sz w:val="36"/>
          <w:szCs w:val="36"/>
          <w:lang w:val="en-US" w:eastAsia="zh-CN"/>
        </w:rPr>
        <w:t>第十届学生技能竞赛月</w:t>
      </w:r>
    </w:p>
    <w:p>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“业财税融合大数据应用”（学生赛）赛项比赛通知</w:t>
      </w:r>
    </w:p>
    <w:p>
      <w:pPr>
        <w:spacing w:line="360" w:lineRule="auto"/>
        <w:ind w:firstLine="480" w:firstLineChars="200"/>
        <w:rPr>
          <w:rFonts w:hint="eastAsia" w:ascii="黑体" w:hAnsi="黑体" w:eastAsia="黑体"/>
          <w:sz w:val="24"/>
        </w:rPr>
      </w:pPr>
      <w:r>
        <w:rPr>
          <w:rFonts w:hint="eastAsia" w:ascii="黑体" w:hAnsi="黑体" w:eastAsia="黑体"/>
          <w:sz w:val="24"/>
        </w:rPr>
        <w:t>一、赛项名称</w:t>
      </w:r>
    </w:p>
    <w:p>
      <w:pPr>
        <w:widowControl/>
        <w:spacing w:line="360" w:lineRule="auto"/>
        <w:ind w:firstLine="482" w:firstLineChars="200"/>
        <w:jc w:val="left"/>
        <w:rPr>
          <w:rFonts w:hint="eastAsia" w:ascii="黑体" w:hAnsi="黑体" w:eastAsia="黑体"/>
          <w:sz w:val="24"/>
        </w:rPr>
      </w:pPr>
      <w:r>
        <w:rPr>
          <w:rFonts w:hint="eastAsia" w:ascii="仿宋" w:hAnsi="仿宋" w:eastAsia="仿宋"/>
          <w:b/>
          <w:bCs/>
          <w:sz w:val="24"/>
          <w:lang w:val="en-US" w:eastAsia="zh-CN"/>
        </w:rPr>
        <w:t>业财税融合大数据应用（学生赛）</w:t>
      </w:r>
    </w:p>
    <w:p>
      <w:pPr>
        <w:spacing w:line="360" w:lineRule="auto"/>
        <w:ind w:firstLine="480" w:firstLineChars="200"/>
        <w:rPr>
          <w:rFonts w:hint="eastAsia" w:ascii="黑体" w:hAnsi="黑体" w:eastAsia="黑体"/>
          <w:sz w:val="24"/>
        </w:rPr>
      </w:pPr>
      <w:r>
        <w:rPr>
          <w:rFonts w:hint="eastAsia" w:ascii="黑体" w:hAnsi="黑体" w:eastAsia="黑体"/>
          <w:sz w:val="24"/>
        </w:rPr>
        <w:t>二、竞赛目的</w:t>
      </w:r>
    </w:p>
    <w:p>
      <w:pPr>
        <w:widowControl/>
        <w:spacing w:line="360" w:lineRule="auto"/>
        <w:ind w:firstLine="482" w:firstLineChars="200"/>
        <w:jc w:val="left"/>
        <w:rPr>
          <w:rFonts w:hint="eastAsia" w:ascii="仿宋" w:hAnsi="仿宋" w:eastAsia="仿宋"/>
          <w:b/>
          <w:bCs/>
          <w:sz w:val="24"/>
          <w:lang w:val="en-US" w:eastAsia="zh-CN"/>
        </w:rPr>
      </w:pPr>
      <w:r>
        <w:rPr>
          <w:rFonts w:hint="eastAsia" w:ascii="仿宋" w:hAnsi="仿宋" w:eastAsia="仿宋"/>
          <w:b/>
          <w:bCs/>
          <w:sz w:val="24"/>
          <w:lang w:val="en-US" w:eastAsia="zh-CN"/>
        </w:rPr>
        <w:t>2023年起，全国职业院校技能大赛目录中将之前的“智能财税”技能赛项改为“业财税融合大数据应用”赛项。业财税融合大数据应用赛项遵循从业务任务到核算任务、从业务流程到核算流程、从业务信息到核算信息、从业务知识到专业知识、从业务场景到核算场景、从业务数据到核算数据、从业务岗位到财务岗位的“七融合、七统一”原则，知行合一，理实一体，以业财税融合为背景，大数据技术为工具，通过数字化再现业财场景，将新技术、新产业、新业态、新模式派生的新场景及时融入“教学训考赛”，满足大数据带来的教育教学变革需求和大数据与各个领域融合的发展趋势。实现财经商贸大类专业（群）的相关核心教学内容的知识与场景的融合，促进教学方法的知识导向和场景导向融合，逐步推进“大数据+产业+会计”教学改革，不断提升学生的业务流程认知能力、流程节点识别能力、数据资源配置能力、节点数据分析能力、资源场景研判能力、场景应用风控能力和大数据工具应用能力。</w:t>
      </w:r>
    </w:p>
    <w:p>
      <w:pPr>
        <w:widowControl/>
        <w:spacing w:line="360" w:lineRule="auto"/>
        <w:ind w:firstLine="482" w:firstLineChars="200"/>
        <w:jc w:val="left"/>
        <w:rPr>
          <w:rFonts w:hint="eastAsia" w:ascii="黑体" w:hAnsi="黑体" w:eastAsia="黑体"/>
          <w:sz w:val="24"/>
        </w:rPr>
      </w:pPr>
      <w:r>
        <w:rPr>
          <w:rFonts w:hint="eastAsia" w:ascii="仿宋" w:hAnsi="仿宋" w:eastAsia="仿宋"/>
          <w:b/>
          <w:bCs/>
          <w:sz w:val="24"/>
          <w:lang w:val="en-US" w:eastAsia="zh-CN"/>
        </w:rPr>
        <w:t>通过比赛，检验和展示学生业财税融合基本操作技能，进一步深化实践教学模式改革，推进职业技能竞赛工作。为即将到来的省技能大赛选拔优秀学生，积极备战，特举行此次校内选拔赛。</w:t>
      </w:r>
    </w:p>
    <w:p>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三</w:t>
      </w:r>
      <w:r>
        <w:rPr>
          <w:rFonts w:hint="eastAsia" w:ascii="黑体" w:hAnsi="黑体" w:eastAsia="黑体"/>
          <w:sz w:val="24"/>
        </w:rPr>
        <w:t>、比赛时间及参赛方式</w:t>
      </w:r>
    </w:p>
    <w:p>
      <w:pPr>
        <w:widowControl/>
        <w:spacing w:line="360" w:lineRule="auto"/>
        <w:ind w:firstLine="482" w:firstLineChars="200"/>
        <w:jc w:val="left"/>
        <w:rPr>
          <w:rFonts w:hint="default" w:ascii="仿宋" w:hAnsi="仿宋" w:eastAsia="仿宋"/>
          <w:b/>
          <w:bCs/>
          <w:sz w:val="24"/>
          <w:lang w:val="en-US" w:eastAsia="zh-CN"/>
        </w:rPr>
      </w:pPr>
      <w:r>
        <w:rPr>
          <w:rFonts w:hint="eastAsia" w:ascii="仿宋" w:hAnsi="仿宋" w:eastAsia="仿宋"/>
          <w:b/>
          <w:bCs/>
          <w:sz w:val="24"/>
          <w:lang w:val="en-US" w:eastAsia="zh-CN"/>
        </w:rPr>
        <w:t>1.报名方式</w:t>
      </w:r>
    </w:p>
    <w:p>
      <w:pPr>
        <w:widowControl/>
        <w:spacing w:line="360" w:lineRule="auto"/>
        <w:ind w:firstLine="482" w:firstLineChars="200"/>
        <w:jc w:val="left"/>
        <w:rPr>
          <w:rFonts w:hint="eastAsia" w:ascii="仿宋" w:hAnsi="仿宋" w:eastAsia="仿宋"/>
          <w:b/>
          <w:bCs/>
          <w:sz w:val="24"/>
          <w:lang w:val="en-US" w:eastAsia="zh-CN"/>
        </w:rPr>
      </w:pPr>
      <w:r>
        <w:rPr>
          <w:rFonts w:hint="eastAsia" w:ascii="仿宋" w:hAnsi="仿宋" w:eastAsia="仿宋"/>
          <w:b/>
          <w:bCs/>
          <w:sz w:val="24"/>
          <w:lang w:val="en-US" w:eastAsia="zh-CN"/>
        </w:rPr>
        <w:t>自愿报名</w:t>
      </w:r>
    </w:p>
    <w:p>
      <w:pPr>
        <w:widowControl/>
        <w:spacing w:line="360" w:lineRule="auto"/>
        <w:ind w:firstLine="482" w:firstLineChars="200"/>
        <w:jc w:val="left"/>
        <w:rPr>
          <w:rFonts w:hint="eastAsia" w:ascii="仿宋" w:hAnsi="仿宋" w:eastAsia="仿宋"/>
          <w:b/>
          <w:bCs/>
          <w:sz w:val="24"/>
          <w:lang w:val="en-US" w:eastAsia="zh-CN"/>
        </w:rPr>
      </w:pPr>
      <w:r>
        <w:rPr>
          <w:rFonts w:hint="eastAsia" w:ascii="仿宋" w:hAnsi="仿宋" w:eastAsia="仿宋"/>
          <w:b/>
          <w:bCs/>
          <w:sz w:val="24"/>
          <w:lang w:val="en-US" w:eastAsia="zh-CN"/>
        </w:rPr>
        <w:t>联系人：韩璐老师，联系电话：15953162005</w:t>
      </w:r>
    </w:p>
    <w:p>
      <w:pPr>
        <w:widowControl/>
        <w:spacing w:line="360" w:lineRule="auto"/>
        <w:ind w:firstLine="482" w:firstLineChars="200"/>
        <w:jc w:val="left"/>
        <w:rPr>
          <w:rFonts w:hint="eastAsia" w:ascii="仿宋" w:hAnsi="仿宋" w:eastAsia="仿宋"/>
          <w:b/>
          <w:bCs/>
          <w:sz w:val="24"/>
        </w:rPr>
      </w:pPr>
      <w:r>
        <w:rPr>
          <w:rFonts w:hint="eastAsia" w:ascii="仿宋" w:hAnsi="仿宋" w:eastAsia="仿宋"/>
          <w:b/>
          <w:bCs/>
          <w:sz w:val="24"/>
          <w:lang w:val="en-US" w:eastAsia="zh-CN"/>
        </w:rPr>
        <w:t>报名截止时间：2024年11月10日</w:t>
      </w:r>
    </w:p>
    <w:p>
      <w:pPr>
        <w:widowControl/>
        <w:spacing w:line="360" w:lineRule="auto"/>
        <w:ind w:firstLine="482" w:firstLineChars="200"/>
        <w:jc w:val="left"/>
        <w:rPr>
          <w:rFonts w:hint="eastAsia"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竞赛时间</w:t>
      </w:r>
    </w:p>
    <w:p>
      <w:pPr>
        <w:widowControl/>
        <w:spacing w:line="360" w:lineRule="auto"/>
        <w:ind w:firstLine="482" w:firstLineChars="200"/>
        <w:jc w:val="left"/>
        <w:rPr>
          <w:rFonts w:hint="eastAsia" w:ascii="仿宋" w:hAnsi="仿宋" w:eastAsia="仿宋"/>
          <w:b/>
          <w:bCs/>
          <w:color w:val="auto"/>
          <w:sz w:val="24"/>
          <w:lang w:val="en-US" w:eastAsia="zh-CN"/>
        </w:rPr>
      </w:pPr>
      <w:r>
        <w:rPr>
          <w:rFonts w:hint="eastAsia" w:ascii="仿宋" w:hAnsi="仿宋" w:eastAsia="仿宋"/>
          <w:b/>
          <w:bCs/>
          <w:color w:val="auto"/>
          <w:sz w:val="24"/>
          <w:lang w:val="en-US" w:eastAsia="zh-CN"/>
        </w:rPr>
        <w:t>2024年11月12日下午15：00-16:30，4号实训楼4404。竞赛总时长90分钟。</w:t>
      </w:r>
    </w:p>
    <w:p>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lang w:val="en-US" w:eastAsia="zh-CN"/>
        </w:rPr>
        <w:t>四</w:t>
      </w:r>
      <w:r>
        <w:rPr>
          <w:rFonts w:hint="eastAsia" w:ascii="黑体" w:hAnsi="黑体" w:eastAsia="黑体"/>
          <w:color w:val="auto"/>
          <w:sz w:val="24"/>
        </w:rPr>
        <w:t>、参赛对象及竞赛形式</w:t>
      </w:r>
    </w:p>
    <w:p>
      <w:pPr>
        <w:widowControl/>
        <w:spacing w:line="360" w:lineRule="auto"/>
        <w:ind w:firstLine="482" w:firstLineChars="200"/>
        <w:jc w:val="left"/>
        <w:rPr>
          <w:rFonts w:hint="eastAsia" w:ascii="仿宋" w:hAnsi="仿宋" w:eastAsia="仿宋"/>
          <w:b/>
          <w:bCs/>
          <w:sz w:val="24"/>
        </w:rPr>
      </w:pPr>
      <w:r>
        <w:rPr>
          <w:rFonts w:hint="eastAsia" w:ascii="仿宋" w:hAnsi="仿宋" w:eastAsia="仿宋"/>
          <w:b/>
          <w:bCs/>
          <w:sz w:val="24"/>
        </w:rPr>
        <w:t>1</w:t>
      </w:r>
      <w:r>
        <w:rPr>
          <w:rFonts w:ascii="仿宋" w:hAnsi="仿宋" w:eastAsia="仿宋"/>
          <w:b/>
          <w:bCs/>
          <w:sz w:val="24"/>
        </w:rPr>
        <w:t>.</w:t>
      </w:r>
      <w:r>
        <w:rPr>
          <w:rFonts w:hint="eastAsia" w:ascii="仿宋" w:hAnsi="仿宋" w:eastAsia="仿宋"/>
          <w:b/>
          <w:bCs/>
          <w:sz w:val="24"/>
        </w:rPr>
        <w:t>参赛对象</w:t>
      </w:r>
    </w:p>
    <w:p>
      <w:pPr>
        <w:widowControl/>
        <w:spacing w:line="360" w:lineRule="auto"/>
        <w:ind w:firstLine="482" w:firstLineChars="200"/>
        <w:jc w:val="left"/>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大数据与会计、大数据与财务管理专业学生</w:t>
      </w:r>
    </w:p>
    <w:p>
      <w:pPr>
        <w:widowControl/>
        <w:spacing w:line="360" w:lineRule="auto"/>
        <w:ind w:firstLine="482" w:firstLineChars="200"/>
        <w:jc w:val="left"/>
        <w:rPr>
          <w:rFonts w:hint="eastAsia" w:ascii="仿宋" w:hAnsi="仿宋" w:eastAsia="仿宋"/>
          <w:b/>
          <w:bCs/>
          <w:sz w:val="24"/>
          <w:szCs w:val="24"/>
        </w:rPr>
      </w:pPr>
      <w:r>
        <w:rPr>
          <w:rFonts w:hint="eastAsia" w:ascii="仿宋" w:hAnsi="仿宋" w:eastAsia="仿宋"/>
          <w:b/>
          <w:bCs/>
          <w:sz w:val="24"/>
          <w:szCs w:val="24"/>
          <w:lang w:val="en-US" w:eastAsia="zh-CN"/>
        </w:rPr>
        <w:t>2</w:t>
      </w:r>
      <w:r>
        <w:rPr>
          <w:rFonts w:hint="eastAsia" w:ascii="仿宋" w:hAnsi="仿宋" w:eastAsia="仿宋"/>
          <w:b/>
          <w:bCs/>
          <w:sz w:val="24"/>
          <w:szCs w:val="24"/>
        </w:rPr>
        <w:t>.竞赛形式</w:t>
      </w:r>
    </w:p>
    <w:p>
      <w:pPr>
        <w:widowControl/>
        <w:spacing w:line="360" w:lineRule="auto"/>
        <w:ind w:firstLine="482" w:firstLineChars="200"/>
        <w:jc w:val="left"/>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运用大赛指定竞赛平台，采用上机操作方式，考察学生的知识运用与基本技能。竞赛分预赛和决赛两部分，预赛以个人形式进行。决赛以团队形式进行，在预赛的基础上，根据选拔出的学生情况自愿组成队伍，四人一组，共选拔六组进入决赛。</w:t>
      </w:r>
    </w:p>
    <w:p>
      <w:pPr>
        <w:widowControl/>
        <w:spacing w:line="360" w:lineRule="auto"/>
        <w:ind w:firstLine="482" w:firstLineChars="200"/>
        <w:jc w:val="left"/>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3.竞赛流程</w:t>
      </w:r>
    </w:p>
    <w:p>
      <w:pPr>
        <w:widowControl/>
        <w:spacing w:line="360" w:lineRule="auto"/>
        <w:ind w:firstLine="482" w:firstLineChars="200"/>
        <w:jc w:val="left"/>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学生登录大赛指定竞赛平台，分岗位登录答题。答题系统自动判分。</w:t>
      </w:r>
    </w:p>
    <w:p>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五</w:t>
      </w:r>
      <w:r>
        <w:rPr>
          <w:rFonts w:hint="eastAsia" w:ascii="黑体" w:hAnsi="黑体" w:eastAsia="黑体"/>
          <w:sz w:val="24"/>
        </w:rPr>
        <w:t>、竞赛内容</w:t>
      </w:r>
    </w:p>
    <w:tbl>
      <w:tblPr>
        <w:tblStyle w:val="4"/>
        <w:tblpPr w:leftFromText="180" w:rightFromText="180" w:vertAnchor="text" w:horzAnchor="page" w:tblpX="2040" w:tblpY="2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4615"/>
        <w:gridCol w:w="1300"/>
        <w:gridCol w:w="864"/>
      </w:tblGrid>
      <w:tr>
        <w:trPr>
          <w:trHeight w:val="234" w:hRule="atLeast"/>
        </w:trPr>
        <w:tc>
          <w:tcPr>
            <w:tcW w:w="17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sz w:val="24"/>
              </w:rPr>
            </w:pPr>
            <w:r>
              <w:rPr>
                <w:rFonts w:hint="eastAsia" w:ascii="仿宋" w:hAnsi="仿宋" w:eastAsia="仿宋" w:cs="Times New Roman"/>
                <w:sz w:val="24"/>
              </w:rPr>
              <w:t>模块</w:t>
            </w:r>
          </w:p>
        </w:tc>
        <w:tc>
          <w:tcPr>
            <w:tcW w:w="46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sz w:val="24"/>
              </w:rPr>
            </w:pPr>
            <w:r>
              <w:rPr>
                <w:rFonts w:hint="eastAsia" w:ascii="仿宋" w:hAnsi="仿宋" w:eastAsia="仿宋" w:cs="Times New Roman"/>
                <w:sz w:val="24"/>
              </w:rPr>
              <w:t>主要内容</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sz w:val="24"/>
              </w:rPr>
            </w:pPr>
            <w:r>
              <w:rPr>
                <w:rFonts w:hint="eastAsia" w:ascii="仿宋" w:hAnsi="仿宋" w:eastAsia="仿宋" w:cs="Times New Roman"/>
                <w:sz w:val="24"/>
              </w:rPr>
              <w:t>比赛时长</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sz w:val="24"/>
              </w:rPr>
            </w:pPr>
            <w:r>
              <w:rPr>
                <w:rFonts w:hint="eastAsia" w:ascii="仿宋" w:hAnsi="仿宋" w:eastAsia="仿宋" w:cs="Times New Roman"/>
                <w:sz w:val="24"/>
              </w:rPr>
              <w:t>分值</w:t>
            </w:r>
          </w:p>
        </w:tc>
      </w:tr>
      <w:tr>
        <w:trPr>
          <w:trHeight w:val="232" w:hRule="atLeast"/>
        </w:trPr>
        <w:tc>
          <w:tcPr>
            <w:tcW w:w="1743" w:type="dxa"/>
            <w:noWrap w:val="0"/>
            <w:vAlign w:val="top"/>
          </w:tcPr>
          <w:p>
            <w:pPr>
              <w:widowControl/>
              <w:spacing w:line="240" w:lineRule="auto"/>
              <w:jc w:val="center"/>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模块一：基于数字场景的资金业财税融合与大数据应用</w:t>
            </w:r>
          </w:p>
        </w:tc>
        <w:tc>
          <w:tcPr>
            <w:tcW w:w="4615" w:type="dxa"/>
            <w:noWrap w:val="0"/>
            <w:vAlign w:val="top"/>
          </w:tcPr>
          <w:p>
            <w:pPr>
              <w:widowControl/>
              <w:spacing w:line="240" w:lineRule="auto"/>
              <w:jc w:val="left"/>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1.筹资业财税融合数字化场景大数据应用技能</w:t>
            </w:r>
          </w:p>
          <w:p>
            <w:pPr>
              <w:widowControl/>
              <w:spacing w:line="240" w:lineRule="auto"/>
              <w:jc w:val="left"/>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2.投资业财税融合数字化场景大数据应用技能</w:t>
            </w:r>
          </w:p>
        </w:tc>
        <w:tc>
          <w:tcPr>
            <w:tcW w:w="1300" w:type="dxa"/>
            <w:noWrap w:val="0"/>
            <w:vAlign w:val="top"/>
          </w:tcPr>
          <w:p>
            <w:pPr>
              <w:widowControl/>
              <w:spacing w:line="240" w:lineRule="auto"/>
              <w:jc w:val="center"/>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0.5小时</w:t>
            </w:r>
          </w:p>
        </w:tc>
        <w:tc>
          <w:tcPr>
            <w:tcW w:w="864" w:type="dxa"/>
            <w:noWrap w:val="0"/>
            <w:vAlign w:val="top"/>
          </w:tcPr>
          <w:p>
            <w:pPr>
              <w:widowControl/>
              <w:spacing w:line="240" w:lineRule="auto"/>
              <w:jc w:val="center"/>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40分</w:t>
            </w:r>
          </w:p>
        </w:tc>
      </w:tr>
      <w:tr>
        <w:trPr>
          <w:trHeight w:val="271" w:hRule="atLeast"/>
        </w:trPr>
        <w:tc>
          <w:tcPr>
            <w:tcW w:w="1743" w:type="dxa"/>
            <w:noWrap w:val="0"/>
            <w:vAlign w:val="top"/>
          </w:tcPr>
          <w:p>
            <w:pPr>
              <w:widowControl/>
              <w:spacing w:line="240" w:lineRule="auto"/>
              <w:jc w:val="center"/>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模块二：基于数字场景的营运业财税融合与大数据应用</w:t>
            </w:r>
          </w:p>
        </w:tc>
        <w:tc>
          <w:tcPr>
            <w:tcW w:w="4615" w:type="dxa"/>
            <w:noWrap w:val="0"/>
            <w:vAlign w:val="top"/>
          </w:tcPr>
          <w:p>
            <w:pPr>
              <w:widowControl/>
              <w:spacing w:line="240" w:lineRule="auto"/>
              <w:jc w:val="left"/>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1.采购业财税融合数字化场景大数据应用技能</w:t>
            </w:r>
          </w:p>
          <w:p>
            <w:pPr>
              <w:widowControl/>
              <w:spacing w:line="240" w:lineRule="auto"/>
              <w:jc w:val="left"/>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2.生产业财税融合数字化场景大数据应用技能</w:t>
            </w:r>
          </w:p>
          <w:p>
            <w:pPr>
              <w:widowControl/>
              <w:spacing w:line="240" w:lineRule="auto"/>
              <w:jc w:val="left"/>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3.销售业财税融合数字化场景大数据应用技能</w:t>
            </w:r>
          </w:p>
        </w:tc>
        <w:tc>
          <w:tcPr>
            <w:tcW w:w="1300" w:type="dxa"/>
            <w:noWrap w:val="0"/>
            <w:vAlign w:val="top"/>
          </w:tcPr>
          <w:p>
            <w:pPr>
              <w:widowControl/>
              <w:spacing w:line="240" w:lineRule="auto"/>
              <w:jc w:val="center"/>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1小时</w:t>
            </w:r>
          </w:p>
        </w:tc>
        <w:tc>
          <w:tcPr>
            <w:tcW w:w="864" w:type="dxa"/>
            <w:noWrap w:val="0"/>
            <w:vAlign w:val="top"/>
          </w:tcPr>
          <w:p>
            <w:pPr>
              <w:widowControl/>
              <w:spacing w:line="240" w:lineRule="auto"/>
              <w:jc w:val="center"/>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6</w:t>
            </w:r>
            <w:bookmarkStart w:id="0" w:name="_GoBack"/>
            <w:bookmarkEnd w:id="0"/>
            <w:r>
              <w:rPr>
                <w:rFonts w:hint="eastAsia" w:ascii="仿宋" w:hAnsi="仿宋" w:eastAsia="仿宋"/>
                <w:b w:val="0"/>
                <w:bCs w:val="0"/>
                <w:sz w:val="24"/>
                <w:szCs w:val="24"/>
                <w:lang w:val="en-US" w:eastAsia="zh-CN"/>
              </w:rPr>
              <w:t>0分</w:t>
            </w:r>
          </w:p>
        </w:tc>
      </w:tr>
    </w:tbl>
    <w:p>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六</w:t>
      </w:r>
      <w:r>
        <w:rPr>
          <w:rFonts w:hint="eastAsia" w:ascii="黑体" w:hAnsi="黑体" w:eastAsia="黑体"/>
          <w:sz w:val="24"/>
        </w:rPr>
        <w:t>、比赛环境</w:t>
      </w:r>
    </w:p>
    <w:p>
      <w:pPr>
        <w:widowControl/>
        <w:spacing w:line="360" w:lineRule="auto"/>
        <w:ind w:firstLine="482" w:firstLineChars="200"/>
        <w:jc w:val="left"/>
        <w:rPr>
          <w:rFonts w:hint="default" w:ascii="仿宋" w:hAnsi="仿宋" w:eastAsia="仿宋"/>
          <w:b/>
          <w:bCs/>
          <w:sz w:val="24"/>
          <w:lang w:val="en-US" w:eastAsia="zh-CN"/>
        </w:rPr>
      </w:pPr>
      <w:r>
        <w:rPr>
          <w:rFonts w:hint="eastAsia" w:ascii="仿宋" w:hAnsi="仿宋" w:eastAsia="仿宋"/>
          <w:b/>
          <w:bCs/>
          <w:sz w:val="24"/>
          <w:lang w:val="en-US" w:eastAsia="zh-CN"/>
        </w:rPr>
        <w:t>每个参赛队为1个工区，1个工区4个工位。每个工区配备4台竞赛用计算机。比赛平台由竞赛管理系统与业务处理平台组成。</w:t>
      </w:r>
    </w:p>
    <w:p>
      <w:pPr>
        <w:spacing w:line="360" w:lineRule="auto"/>
        <w:ind w:firstLine="480" w:firstLineChars="200"/>
        <w:rPr>
          <w:rFonts w:hint="default" w:ascii="黑体" w:hAnsi="黑体" w:eastAsia="黑体"/>
          <w:sz w:val="24"/>
          <w:lang w:val="en-US" w:eastAsia="zh-CN"/>
        </w:rPr>
      </w:pPr>
      <w:r>
        <w:rPr>
          <w:rFonts w:hint="eastAsia" w:ascii="黑体" w:hAnsi="黑体" w:eastAsia="黑体"/>
          <w:sz w:val="24"/>
          <w:lang w:val="en-US" w:eastAsia="zh-CN"/>
        </w:rPr>
        <w:t>七、成绩评定与奖项设置</w:t>
      </w:r>
    </w:p>
    <w:p>
      <w:pPr>
        <w:widowControl/>
        <w:spacing w:line="360" w:lineRule="auto"/>
        <w:ind w:firstLine="482" w:firstLineChars="200"/>
        <w:jc w:val="left"/>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根据竞赛团队的成绩排名，设一、二、三等奖，分别按参赛队伍的10%，20%，30%确定，预计一等奖1队，二等奖2队，三等奖3队。</w:t>
      </w:r>
    </w:p>
    <w:p>
      <w:pPr>
        <w:spacing w:line="360" w:lineRule="auto"/>
        <w:ind w:firstLine="480" w:firstLineChars="200"/>
        <w:rPr>
          <w:rFonts w:hint="default" w:ascii="黑体" w:hAnsi="黑体" w:eastAsia="黑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ongti SC">
    <w:panose1 w:val="02010800040101010101"/>
    <w:charset w:val="86"/>
    <w:family w:val="auto"/>
    <w:pitch w:val="default"/>
    <w:sig w:usb0="00000001" w:usb1="080F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华文中宋">
    <w:altName w:val="汉仪书宋二KW"/>
    <w:panose1 w:val="02010600040101010101"/>
    <w:charset w:val="86"/>
    <w:family w:val="auto"/>
    <w:pitch w:val="default"/>
    <w:sig w:usb0="00000000" w:usb1="00000000" w:usb2="00000000" w:usb3="00000000" w:csb0="0004009F" w:csb1="DFD70000"/>
  </w:font>
  <w:font w:name="方正小标宋简体">
    <w:altName w:val="汉仪书宋二KW"/>
    <w:panose1 w:val="03000509000000000000"/>
    <w:charset w:val="86"/>
    <w:family w:val="script"/>
    <w:pitch w:val="default"/>
    <w:sig w:usb0="00000000" w:usb1="00000000" w:usb2="00000000" w:usb3="00000000" w:csb0="00040000" w:csb1="00000000"/>
  </w:font>
  <w:font w:name="方正小标宋_GBK">
    <w:altName w:val="汉仪书宋二KW"/>
    <w:panose1 w:val="03000509000000000000"/>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ODA0YjI4YjYxNDhkMzUyODUyOTU0ZWZhNmEwYTEifQ=="/>
  </w:docVars>
  <w:rsids>
    <w:rsidRoot w:val="00000000"/>
    <w:rsid w:val="087E3C5E"/>
    <w:rsid w:val="0ADD0872"/>
    <w:rsid w:val="0BF67E37"/>
    <w:rsid w:val="19EC6C6D"/>
    <w:rsid w:val="1AC86F65"/>
    <w:rsid w:val="1D3E0165"/>
    <w:rsid w:val="1EDA6214"/>
    <w:rsid w:val="223D1F4C"/>
    <w:rsid w:val="22A00653"/>
    <w:rsid w:val="232F15F4"/>
    <w:rsid w:val="24C15128"/>
    <w:rsid w:val="3383044E"/>
    <w:rsid w:val="33B7CC46"/>
    <w:rsid w:val="3BF7CD76"/>
    <w:rsid w:val="3FFF0E9F"/>
    <w:rsid w:val="41E00614"/>
    <w:rsid w:val="4C6E7F33"/>
    <w:rsid w:val="523613CE"/>
    <w:rsid w:val="57C82282"/>
    <w:rsid w:val="5B467202"/>
    <w:rsid w:val="5CFFC172"/>
    <w:rsid w:val="61DF4719"/>
    <w:rsid w:val="6E5F10BB"/>
    <w:rsid w:val="76BACF6A"/>
    <w:rsid w:val="7BD9F848"/>
    <w:rsid w:val="7FAF83E9"/>
    <w:rsid w:val="7FB74C48"/>
    <w:rsid w:val="7FD73983"/>
    <w:rsid w:val="7FFF5372"/>
    <w:rsid w:val="9FF2F212"/>
    <w:rsid w:val="EB6A89F7"/>
    <w:rsid w:val="EBFFE1B6"/>
    <w:rsid w:val="F5BF9EE1"/>
    <w:rsid w:val="F5FF0238"/>
    <w:rsid w:val="F7B76026"/>
    <w:rsid w:val="F96BD5E8"/>
    <w:rsid w:val="F976584B"/>
    <w:rsid w:val="FBEE861F"/>
    <w:rsid w:val="FFBFD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Words>
  <Characters>169</Characters>
  <Lines>0</Lines>
  <Paragraphs>0</Paragraphs>
  <TotalTime>0</TotalTime>
  <ScaleCrop>false</ScaleCrop>
  <LinksUpToDate>false</LinksUpToDate>
  <CharactersWithSpaces>169</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2024-10-31T06:06:00Z</dcterms:created>
  <dc:creator>党莹</dc:creator>
  <cp:lastModifiedBy>没你的日子</cp:lastModifiedBy>
  <dcterms:modified xsi:type="dcterms:W3CDTF">2024-11-05T14:11:29Z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4C667A090D2D4444922452D5E70574C5_12</vt:lpwstr>
  </property>
</Properties>
</file>