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276CC" w14:textId="77777777" w:rsidR="00876CBF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附件2:</w:t>
      </w:r>
    </w:p>
    <w:p w14:paraId="65FE81A4" w14:textId="77777777" w:rsidR="00876CBF" w:rsidRDefault="00000000">
      <w:pPr>
        <w:spacing w:line="640" w:lineRule="exact"/>
        <w:jc w:val="center"/>
        <w:rPr>
          <w:rFonts w:ascii="华文中宋" w:eastAsia="华文中宋" w:hAnsi="华文中宋" w:cs="方正小标宋简体" w:hint="eastAsia"/>
          <w:sz w:val="36"/>
          <w:szCs w:val="36"/>
        </w:rPr>
      </w:pPr>
      <w:r>
        <w:rPr>
          <w:rFonts w:ascii="华文中宋" w:eastAsia="华文中宋" w:hAnsi="华文中宋" w:cs="方正小标宋简体" w:hint="eastAsia"/>
          <w:sz w:val="36"/>
          <w:szCs w:val="36"/>
        </w:rPr>
        <w:t>第十届学生技能竞赛月</w:t>
      </w:r>
    </w:p>
    <w:p w14:paraId="0643A53D" w14:textId="59586A77" w:rsidR="00876CBF" w:rsidRDefault="00000000">
      <w:pPr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“</w:t>
      </w:r>
      <w:r w:rsidR="00B61017">
        <w:rPr>
          <w:rFonts w:ascii="方正小标宋_GBK" w:eastAsia="方正小标宋_GBK" w:hAnsi="方正小标宋_GBK" w:cs="方正小标宋_GBK" w:hint="eastAsia"/>
          <w:sz w:val="32"/>
          <w:szCs w:val="32"/>
        </w:rPr>
        <w:t>市场营销</w:t>
      </w: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”赛项比赛通知</w:t>
      </w:r>
    </w:p>
    <w:p w14:paraId="3069B7FF" w14:textId="77777777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一、赛项名称</w:t>
      </w:r>
    </w:p>
    <w:p w14:paraId="236B61E1" w14:textId="0BC1A07F" w:rsidR="005F7BB4" w:rsidRPr="00745FDD" w:rsidRDefault="005F7BB4" w:rsidP="00030964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45FDD">
        <w:rPr>
          <w:rFonts w:ascii="仿宋" w:eastAsia="仿宋" w:hAnsi="仿宋" w:hint="eastAsia"/>
          <w:sz w:val="24"/>
        </w:rPr>
        <w:t>第十届学生技能竞赛</w:t>
      </w:r>
      <w:r w:rsidRPr="00745FDD">
        <w:rPr>
          <w:rFonts w:ascii="仿宋" w:eastAsia="仿宋" w:hAnsi="仿宋" w:hint="eastAsia"/>
          <w:sz w:val="24"/>
        </w:rPr>
        <w:t>月</w:t>
      </w:r>
      <w:r w:rsidR="00262F2F" w:rsidRPr="00745FDD">
        <w:rPr>
          <w:rFonts w:ascii="仿宋" w:eastAsia="仿宋" w:hAnsi="仿宋" w:hint="eastAsia"/>
          <w:sz w:val="24"/>
        </w:rPr>
        <w:t>“</w:t>
      </w:r>
      <w:r w:rsidR="00262F2F" w:rsidRPr="00745FDD">
        <w:rPr>
          <w:rFonts w:ascii="仿宋" w:eastAsia="仿宋" w:hAnsi="仿宋" w:hint="eastAsia"/>
          <w:sz w:val="24"/>
        </w:rPr>
        <w:t>市场营销</w:t>
      </w:r>
      <w:r w:rsidR="00262F2F" w:rsidRPr="00745FDD">
        <w:rPr>
          <w:rFonts w:ascii="仿宋" w:eastAsia="仿宋" w:hAnsi="仿宋" w:hint="eastAsia"/>
          <w:sz w:val="24"/>
        </w:rPr>
        <w:t>”技能竞赛</w:t>
      </w:r>
    </w:p>
    <w:p w14:paraId="09C0E461" w14:textId="77777777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二、竞赛目的</w:t>
      </w:r>
    </w:p>
    <w:p w14:paraId="16F1A2FA" w14:textId="23D89525" w:rsidR="00876CBF" w:rsidRPr="00745FDD" w:rsidRDefault="00262F2F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对接数字经济背景下企业营销数字化转型新趋势</w:t>
      </w:r>
      <w:r w:rsidRPr="00745FDD">
        <w:rPr>
          <w:rFonts w:ascii="仿宋" w:eastAsia="仿宋" w:hAnsi="仿宋" w:hint="eastAsia"/>
          <w:sz w:val="24"/>
        </w:rPr>
        <w:t>，</w:t>
      </w:r>
      <w:r w:rsidR="00B61017" w:rsidRPr="00745FDD">
        <w:rPr>
          <w:rFonts w:ascii="仿宋" w:eastAsia="仿宋" w:hAnsi="仿宋" w:hint="eastAsia"/>
          <w:sz w:val="24"/>
        </w:rPr>
        <w:t>进一步深化实践教学模式改革，</w:t>
      </w:r>
      <w:r w:rsidR="00BF7EE0" w:rsidRPr="00745FDD">
        <w:rPr>
          <w:rFonts w:ascii="仿宋" w:eastAsia="仿宋" w:hAnsi="仿宋" w:hint="eastAsia"/>
          <w:sz w:val="24"/>
        </w:rPr>
        <w:t>以培养优秀商贸流通人才、服务各行各业市场营销人才需求为出发点，</w:t>
      </w:r>
      <w:r w:rsidR="00B61017" w:rsidRPr="00745FDD">
        <w:rPr>
          <w:rFonts w:ascii="仿宋" w:eastAsia="仿宋" w:hAnsi="仿宋" w:hint="eastAsia"/>
          <w:sz w:val="24"/>
        </w:rPr>
        <w:t>推进职业</w:t>
      </w:r>
      <w:r w:rsidR="00030964" w:rsidRPr="00745FDD">
        <w:rPr>
          <w:rFonts w:ascii="仿宋" w:eastAsia="仿宋" w:hAnsi="仿宋" w:hint="eastAsia"/>
          <w:sz w:val="24"/>
        </w:rPr>
        <w:t>院校</w:t>
      </w:r>
      <w:r w:rsidR="00B61017" w:rsidRPr="00745FDD">
        <w:rPr>
          <w:rFonts w:ascii="仿宋" w:eastAsia="仿宋" w:hAnsi="仿宋" w:hint="eastAsia"/>
          <w:sz w:val="24"/>
        </w:rPr>
        <w:t>技能竞赛工作，形成以赛促学、以赛促练、以赛促教的良好局面</w:t>
      </w:r>
      <w:r w:rsidRPr="00745FDD">
        <w:rPr>
          <w:rFonts w:ascii="仿宋" w:eastAsia="仿宋" w:hAnsi="仿宋" w:hint="eastAsia"/>
          <w:sz w:val="24"/>
        </w:rPr>
        <w:t>，</w:t>
      </w:r>
      <w:r w:rsidR="00030964" w:rsidRPr="00745FDD">
        <w:rPr>
          <w:rFonts w:ascii="仿宋" w:eastAsia="仿宋" w:hAnsi="仿宋" w:hint="eastAsia"/>
          <w:sz w:val="24"/>
        </w:rPr>
        <w:t>特</w:t>
      </w:r>
      <w:r w:rsidR="00B61017" w:rsidRPr="00745FDD">
        <w:rPr>
          <w:rFonts w:ascii="仿宋" w:eastAsia="仿宋" w:hAnsi="仿宋" w:hint="eastAsia"/>
          <w:sz w:val="24"/>
        </w:rPr>
        <w:t>定于2024年11月21日组织举办第十届学生技能竞赛月“市场营销”技能竞赛。</w:t>
      </w:r>
    </w:p>
    <w:p w14:paraId="66627A9B" w14:textId="77777777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三、比赛时间及参赛方式</w:t>
      </w:r>
    </w:p>
    <w:p w14:paraId="273D9AF7" w14:textId="77777777" w:rsidR="00876CBF" w:rsidRPr="00745FDD" w:rsidRDefault="00000000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1.报名方式</w:t>
      </w:r>
    </w:p>
    <w:p w14:paraId="2F89AF7A" w14:textId="46C7CEC7" w:rsidR="00BF7EE0" w:rsidRPr="00745FDD" w:rsidRDefault="009740B1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个人报名，参赛学生</w:t>
      </w:r>
      <w:r w:rsidR="00CE29BE" w:rsidRPr="00745FDD">
        <w:rPr>
          <w:rFonts w:ascii="仿宋" w:eastAsia="仿宋" w:hAnsi="仿宋" w:hint="eastAsia"/>
          <w:sz w:val="24"/>
        </w:rPr>
        <w:t>应</w:t>
      </w:r>
      <w:r w:rsidRPr="00745FDD">
        <w:rPr>
          <w:rFonts w:ascii="仿宋" w:eastAsia="仿宋" w:hAnsi="仿宋" w:hint="eastAsia"/>
          <w:sz w:val="24"/>
        </w:rPr>
        <w:t>为我</w:t>
      </w:r>
      <w:proofErr w:type="gramStart"/>
      <w:r w:rsidRPr="00745FDD">
        <w:rPr>
          <w:rFonts w:ascii="仿宋" w:eastAsia="仿宋" w:hAnsi="仿宋" w:hint="eastAsia"/>
          <w:sz w:val="24"/>
        </w:rPr>
        <w:t>校市场</w:t>
      </w:r>
      <w:proofErr w:type="gramEnd"/>
      <w:r w:rsidRPr="00745FDD">
        <w:rPr>
          <w:rFonts w:ascii="仿宋" w:eastAsia="仿宋" w:hAnsi="仿宋" w:hint="eastAsia"/>
          <w:sz w:val="24"/>
        </w:rPr>
        <w:t>营销专业</w:t>
      </w:r>
      <w:r w:rsidR="00CE29BE" w:rsidRPr="00745FDD">
        <w:rPr>
          <w:rFonts w:ascii="仿宋" w:eastAsia="仿宋" w:hAnsi="仿宋" w:hint="eastAsia"/>
          <w:sz w:val="24"/>
        </w:rPr>
        <w:t>在校</w:t>
      </w:r>
      <w:r w:rsidRPr="00745FDD">
        <w:rPr>
          <w:rFonts w:ascii="仿宋" w:eastAsia="仿宋" w:hAnsi="仿宋" w:hint="eastAsia"/>
          <w:sz w:val="24"/>
        </w:rPr>
        <w:t>学生，</w:t>
      </w:r>
      <w:r w:rsidR="004C2ADC" w:rsidRPr="00745FDD">
        <w:rPr>
          <w:rFonts w:ascii="仿宋" w:eastAsia="仿宋" w:hAnsi="仿宋" w:hint="eastAsia"/>
          <w:sz w:val="24"/>
        </w:rPr>
        <w:t xml:space="preserve"> </w:t>
      </w:r>
      <w:r w:rsidR="004C2ADC" w:rsidRPr="00745FDD">
        <w:rPr>
          <w:rFonts w:ascii="仿宋" w:eastAsia="仿宋" w:hAnsi="仿宋" w:hint="eastAsia"/>
          <w:sz w:val="24"/>
        </w:rPr>
        <w:t>有意向报名的学生在11月9日前，将学号、姓名、专业、联系方式等报名信息发至邮箱</w:t>
      </w:r>
      <w:r w:rsidR="004C2ADC" w:rsidRPr="00745FDD">
        <w:rPr>
          <w:rFonts w:ascii="仿宋" w:eastAsia="仿宋" w:hAnsi="仿宋" w:hint="eastAsia"/>
          <w:sz w:val="24"/>
        </w:rPr>
        <w:t>155269133</w:t>
      </w:r>
      <w:r w:rsidR="004C2ADC" w:rsidRPr="00745FDD">
        <w:rPr>
          <w:rFonts w:ascii="仿宋" w:eastAsia="仿宋" w:hAnsi="仿宋" w:hint="eastAsia"/>
          <w:sz w:val="24"/>
        </w:rPr>
        <w:t>@qq.com。</w:t>
      </w:r>
    </w:p>
    <w:p w14:paraId="7D1862CB" w14:textId="195D68C9" w:rsidR="00876CBF" w:rsidRPr="00745FDD" w:rsidRDefault="00000000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2</w:t>
      </w:r>
      <w:r w:rsidRPr="00745FDD">
        <w:rPr>
          <w:rFonts w:ascii="仿宋" w:eastAsia="仿宋" w:hAnsi="仿宋"/>
          <w:sz w:val="24"/>
        </w:rPr>
        <w:t>.</w:t>
      </w:r>
      <w:r w:rsidRPr="00745FDD">
        <w:rPr>
          <w:rFonts w:ascii="仿宋" w:eastAsia="仿宋" w:hAnsi="仿宋" w:hint="eastAsia"/>
          <w:sz w:val="24"/>
        </w:rPr>
        <w:t>竞赛时间</w:t>
      </w:r>
    </w:p>
    <w:p w14:paraId="1CB36EFA" w14:textId="7722974E" w:rsidR="00BF7EE0" w:rsidRPr="00745FDD" w:rsidRDefault="00030964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2024年11月21日</w:t>
      </w:r>
      <w:r w:rsidR="00AB567A" w:rsidRPr="00745FDD">
        <w:rPr>
          <w:rFonts w:ascii="仿宋" w:eastAsia="仿宋" w:hAnsi="仿宋" w:hint="eastAsia"/>
          <w:sz w:val="24"/>
        </w:rPr>
        <w:t>，12:30-16:30</w:t>
      </w:r>
    </w:p>
    <w:p w14:paraId="01B94D31" w14:textId="501DA799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四、参赛对象及竞赛形式</w:t>
      </w:r>
    </w:p>
    <w:p w14:paraId="7DDF4487" w14:textId="77777777" w:rsidR="00876CBF" w:rsidRPr="00745FDD" w:rsidRDefault="00000000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1</w:t>
      </w:r>
      <w:r w:rsidRPr="00745FDD">
        <w:rPr>
          <w:rFonts w:ascii="仿宋" w:eastAsia="仿宋" w:hAnsi="仿宋"/>
          <w:sz w:val="24"/>
        </w:rPr>
        <w:t>.</w:t>
      </w:r>
      <w:r w:rsidRPr="00745FDD">
        <w:rPr>
          <w:rFonts w:ascii="仿宋" w:eastAsia="仿宋" w:hAnsi="仿宋" w:hint="eastAsia"/>
          <w:sz w:val="24"/>
        </w:rPr>
        <w:t>参赛对象</w:t>
      </w:r>
    </w:p>
    <w:p w14:paraId="37583501" w14:textId="05137464" w:rsidR="00AB567A" w:rsidRPr="00745FDD" w:rsidRDefault="00FE52B5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为高等职业学校（含本科职业院校）全日制在籍学生。五年制高职一至三年级（含三年级）学生参加中职组比赛，四至五年级学生参加高职组比赛。参赛资格以报名时所具有的在校学籍为准。</w:t>
      </w:r>
    </w:p>
    <w:p w14:paraId="4E86F3E4" w14:textId="1DA75442" w:rsidR="00876CBF" w:rsidRPr="00745FDD" w:rsidRDefault="00000000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2.竞赛形式</w:t>
      </w:r>
    </w:p>
    <w:p w14:paraId="799DCBAA" w14:textId="37E877BB" w:rsidR="00AB567A" w:rsidRPr="00745FDD" w:rsidRDefault="00AB567A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团队赛，</w:t>
      </w:r>
      <w:r w:rsidR="004C2ADC" w:rsidRPr="00745FDD">
        <w:rPr>
          <w:rFonts w:ascii="仿宋" w:eastAsia="仿宋" w:hAnsi="仿宋" w:hint="eastAsia"/>
          <w:sz w:val="24"/>
        </w:rPr>
        <w:t>参赛学生自由组队，4人/队。</w:t>
      </w:r>
    </w:p>
    <w:p w14:paraId="4EE52428" w14:textId="4DF636B6" w:rsidR="00876CBF" w:rsidRPr="00745FDD" w:rsidRDefault="00000000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45FDD">
        <w:rPr>
          <w:rFonts w:ascii="仿宋" w:eastAsia="仿宋" w:hAnsi="仿宋" w:hint="eastAsia"/>
          <w:sz w:val="24"/>
        </w:rPr>
        <w:t>3.竞赛流程</w:t>
      </w:r>
    </w:p>
    <w:p w14:paraId="4E29218C" w14:textId="77777777" w:rsidR="00FF725A" w:rsidRDefault="00FF725A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</w:rPr>
      </w:pPr>
    </w:p>
    <w:p w14:paraId="55C85AC0" w14:textId="77777777" w:rsidR="00FF725A" w:rsidRDefault="00FF725A">
      <w:pPr>
        <w:widowControl/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 w:val="24"/>
        </w:rPr>
      </w:pPr>
    </w:p>
    <w:tbl>
      <w:tblPr>
        <w:tblStyle w:val="a4"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228"/>
        <w:gridCol w:w="1281"/>
        <w:gridCol w:w="2097"/>
        <w:gridCol w:w="2630"/>
        <w:gridCol w:w="1060"/>
      </w:tblGrid>
      <w:tr w:rsidR="00FF725A" w14:paraId="3D59E11E" w14:textId="77777777" w:rsidTr="008D083F">
        <w:trPr>
          <w:trHeight w:val="389"/>
          <w:jc w:val="center"/>
        </w:trPr>
        <w:tc>
          <w:tcPr>
            <w:tcW w:w="1167" w:type="dxa"/>
          </w:tcPr>
          <w:p w14:paraId="28875DF5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1218" w:type="dxa"/>
          </w:tcPr>
          <w:p w14:paraId="6C2C48D5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时间</w:t>
            </w:r>
          </w:p>
        </w:tc>
        <w:tc>
          <w:tcPr>
            <w:tcW w:w="1993" w:type="dxa"/>
          </w:tcPr>
          <w:p w14:paraId="79F3027F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事项</w:t>
            </w:r>
          </w:p>
        </w:tc>
        <w:tc>
          <w:tcPr>
            <w:tcW w:w="2500" w:type="dxa"/>
          </w:tcPr>
          <w:p w14:paraId="7AB3AA5C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参加人员</w:t>
            </w:r>
          </w:p>
        </w:tc>
        <w:tc>
          <w:tcPr>
            <w:tcW w:w="1008" w:type="dxa"/>
          </w:tcPr>
          <w:p w14:paraId="599B7EBC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地点</w:t>
            </w:r>
          </w:p>
        </w:tc>
      </w:tr>
      <w:tr w:rsidR="00FF725A" w14:paraId="5DF79B90" w14:textId="77777777" w:rsidTr="008D083F">
        <w:trPr>
          <w:trHeight w:val="462"/>
          <w:jc w:val="center"/>
        </w:trPr>
        <w:tc>
          <w:tcPr>
            <w:tcW w:w="1167" w:type="dxa"/>
            <w:vMerge w:val="restart"/>
            <w:vAlign w:val="center"/>
          </w:tcPr>
          <w:p w14:paraId="3C1E082D" w14:textId="3E695746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2024.11.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21</w:t>
            </w:r>
          </w:p>
          <w:p w14:paraId="672C7CBD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218" w:type="dxa"/>
          </w:tcPr>
          <w:p w14:paraId="30BA490F" w14:textId="48968141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: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0-1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:</w:t>
            </w:r>
            <w:r w:rsidR="00C4231C"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</w:t>
            </w:r>
          </w:p>
        </w:tc>
        <w:tc>
          <w:tcPr>
            <w:tcW w:w="1993" w:type="dxa"/>
          </w:tcPr>
          <w:p w14:paraId="75919B96" w14:textId="32D4B8BC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第一年度经营</w:t>
            </w:r>
          </w:p>
        </w:tc>
        <w:tc>
          <w:tcPr>
            <w:tcW w:w="2500" w:type="dxa"/>
          </w:tcPr>
          <w:p w14:paraId="6E0AD335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参赛选手、裁判、工作人员</w:t>
            </w:r>
          </w:p>
        </w:tc>
        <w:tc>
          <w:tcPr>
            <w:tcW w:w="1008" w:type="dxa"/>
          </w:tcPr>
          <w:p w14:paraId="30559310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竞赛场地</w:t>
            </w:r>
          </w:p>
        </w:tc>
      </w:tr>
      <w:tr w:rsidR="00FF725A" w14:paraId="2FC220CD" w14:textId="77777777" w:rsidTr="008D083F">
        <w:trPr>
          <w:trHeight w:val="640"/>
          <w:jc w:val="center"/>
        </w:trPr>
        <w:tc>
          <w:tcPr>
            <w:tcW w:w="1167" w:type="dxa"/>
            <w:vMerge/>
          </w:tcPr>
          <w:p w14:paraId="7F17B97A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218" w:type="dxa"/>
          </w:tcPr>
          <w:p w14:paraId="4C33792D" w14:textId="71393CA6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:</w:t>
            </w:r>
            <w:r w:rsidR="00C4231C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0-1</w:t>
            </w:r>
            <w:r w:rsidR="00C4231C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:00</w:t>
            </w:r>
          </w:p>
        </w:tc>
        <w:tc>
          <w:tcPr>
            <w:tcW w:w="1993" w:type="dxa"/>
          </w:tcPr>
          <w:p w14:paraId="76F6EB4B" w14:textId="1C977936" w:rsidR="00FF725A" w:rsidRDefault="00C4231C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年度经营</w:t>
            </w:r>
          </w:p>
        </w:tc>
        <w:tc>
          <w:tcPr>
            <w:tcW w:w="2500" w:type="dxa"/>
          </w:tcPr>
          <w:p w14:paraId="79AD9D58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参赛选手、裁判、工作人员</w:t>
            </w:r>
          </w:p>
        </w:tc>
        <w:tc>
          <w:tcPr>
            <w:tcW w:w="1008" w:type="dxa"/>
          </w:tcPr>
          <w:p w14:paraId="147A37FA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竞赛场地</w:t>
            </w:r>
          </w:p>
        </w:tc>
      </w:tr>
      <w:tr w:rsidR="00FF725A" w14:paraId="2BB84346" w14:textId="77777777" w:rsidTr="008D083F">
        <w:trPr>
          <w:trHeight w:val="467"/>
          <w:jc w:val="center"/>
        </w:trPr>
        <w:tc>
          <w:tcPr>
            <w:tcW w:w="1167" w:type="dxa"/>
            <w:vMerge/>
          </w:tcPr>
          <w:p w14:paraId="45712E0A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</w:p>
        </w:tc>
        <w:tc>
          <w:tcPr>
            <w:tcW w:w="1218" w:type="dxa"/>
          </w:tcPr>
          <w:p w14:paraId="2200201C" w14:textId="107EE1A1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 w:rsidR="00C4231C"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:</w:t>
            </w:r>
            <w:r w:rsidR="00C4231C"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0-16:30</w:t>
            </w:r>
          </w:p>
        </w:tc>
        <w:tc>
          <w:tcPr>
            <w:tcW w:w="1993" w:type="dxa"/>
          </w:tcPr>
          <w:p w14:paraId="79DC89EA" w14:textId="0EBB7289" w:rsidR="00FF725A" w:rsidRDefault="00C4231C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第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三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年度经营</w:t>
            </w:r>
          </w:p>
        </w:tc>
        <w:tc>
          <w:tcPr>
            <w:tcW w:w="2500" w:type="dxa"/>
          </w:tcPr>
          <w:p w14:paraId="1CA3DB9C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参赛选手、裁判、工作人员</w:t>
            </w:r>
          </w:p>
        </w:tc>
        <w:tc>
          <w:tcPr>
            <w:tcW w:w="1008" w:type="dxa"/>
          </w:tcPr>
          <w:p w14:paraId="552C9E0D" w14:textId="77777777" w:rsidR="00FF725A" w:rsidRDefault="00FF725A" w:rsidP="004B5035">
            <w:pPr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竞赛场地</w:t>
            </w:r>
          </w:p>
        </w:tc>
      </w:tr>
    </w:tbl>
    <w:p w14:paraId="0A84CC9E" w14:textId="4D57488E" w:rsidR="00481824" w:rsidRDefault="00481824" w:rsidP="00481824">
      <w:pPr>
        <w:spacing w:line="360" w:lineRule="auto"/>
        <w:ind w:firstLineChars="200" w:firstLine="480"/>
        <w:jc w:val="center"/>
        <w:rPr>
          <w:rFonts w:ascii="黑体" w:eastAsia="黑体" w:hAnsi="黑体" w:hint="eastAsia"/>
          <w:sz w:val="24"/>
        </w:rPr>
      </w:pPr>
    </w:p>
    <w:p w14:paraId="0BDB03A9" w14:textId="5EC142A6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五、竞赛内容</w:t>
      </w:r>
    </w:p>
    <w:tbl>
      <w:tblPr>
        <w:tblStyle w:val="a4"/>
        <w:tblpPr w:leftFromText="180" w:rightFromText="180" w:vertAnchor="text" w:horzAnchor="page" w:tblpXSpec="center" w:tblpY="218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709"/>
        <w:gridCol w:w="872"/>
      </w:tblGrid>
      <w:tr w:rsidR="00876CBF" w14:paraId="046190D4" w14:textId="77777777" w:rsidTr="006D4497">
        <w:trPr>
          <w:trHeight w:val="234"/>
        </w:trPr>
        <w:tc>
          <w:tcPr>
            <w:tcW w:w="846" w:type="dxa"/>
            <w:vAlign w:val="center"/>
          </w:tcPr>
          <w:p w14:paraId="6399167F" w14:textId="77777777" w:rsidR="00876CBF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模块</w:t>
            </w:r>
          </w:p>
        </w:tc>
        <w:tc>
          <w:tcPr>
            <w:tcW w:w="6095" w:type="dxa"/>
            <w:vAlign w:val="center"/>
          </w:tcPr>
          <w:p w14:paraId="1124E7D7" w14:textId="77777777" w:rsidR="00876CBF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主要内容</w:t>
            </w:r>
          </w:p>
        </w:tc>
        <w:tc>
          <w:tcPr>
            <w:tcW w:w="709" w:type="dxa"/>
            <w:vAlign w:val="center"/>
          </w:tcPr>
          <w:p w14:paraId="695BD49C" w14:textId="77777777" w:rsidR="00876CBF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比赛时长</w:t>
            </w:r>
          </w:p>
        </w:tc>
        <w:tc>
          <w:tcPr>
            <w:tcW w:w="872" w:type="dxa"/>
            <w:vAlign w:val="center"/>
          </w:tcPr>
          <w:p w14:paraId="30FED3E5" w14:textId="77777777" w:rsidR="00876CBF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分值</w:t>
            </w:r>
          </w:p>
        </w:tc>
      </w:tr>
      <w:tr w:rsidR="00876CBF" w14:paraId="55D44CB7" w14:textId="77777777" w:rsidTr="006D4497">
        <w:trPr>
          <w:trHeight w:val="232"/>
        </w:trPr>
        <w:tc>
          <w:tcPr>
            <w:tcW w:w="846" w:type="dxa"/>
            <w:vAlign w:val="center"/>
          </w:tcPr>
          <w:p w14:paraId="120857D3" w14:textId="0164DF95" w:rsidR="00876CBF" w:rsidRDefault="00035E2D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情境营销</w:t>
            </w:r>
          </w:p>
        </w:tc>
        <w:tc>
          <w:tcPr>
            <w:tcW w:w="6095" w:type="dxa"/>
            <w:vAlign w:val="center"/>
          </w:tcPr>
          <w:p w14:paraId="4248D4DF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任务1：市场调研与数据分析</w:t>
            </w:r>
          </w:p>
          <w:p w14:paraId="7F1B5895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结合企业经营状态与市场预测数据，分析用户需求与市场需求，制定企业营销组合策略，并进行市场开拓和企业ISO认证，提高市场占有率。</w:t>
            </w:r>
          </w:p>
          <w:p w14:paraId="572249B5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任务2：客户满意度管理</w:t>
            </w:r>
          </w:p>
          <w:p w14:paraId="59728F13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针对六类消费人群客户数据进行多维度分析，从产品、价格、时间满意</w:t>
            </w:r>
            <w:proofErr w:type="gramStart"/>
            <w:r w:rsidRPr="00035E2D">
              <w:rPr>
                <w:rFonts w:ascii="仿宋" w:eastAsia="仿宋" w:hAnsi="仿宋" w:cs="Times New Roman" w:hint="eastAsia"/>
                <w:sz w:val="24"/>
              </w:rPr>
              <w:t>度维度制定</w:t>
            </w:r>
            <w:proofErr w:type="gramEnd"/>
            <w:r w:rsidRPr="00035E2D">
              <w:rPr>
                <w:rFonts w:ascii="仿宋" w:eastAsia="仿宋" w:hAnsi="仿宋" w:cs="Times New Roman" w:hint="eastAsia"/>
                <w:sz w:val="24"/>
              </w:rPr>
              <w:t>提升客户满意度的营销策略，提升客户的忠诚度和</w:t>
            </w:r>
            <w:proofErr w:type="gramStart"/>
            <w:r w:rsidRPr="00035E2D">
              <w:rPr>
                <w:rFonts w:ascii="仿宋" w:eastAsia="仿宋" w:hAnsi="仿宋" w:cs="Times New Roman" w:hint="eastAsia"/>
                <w:sz w:val="24"/>
              </w:rPr>
              <w:t>复购</w:t>
            </w:r>
            <w:proofErr w:type="gramEnd"/>
            <w:r w:rsidRPr="00035E2D">
              <w:rPr>
                <w:rFonts w:ascii="仿宋" w:eastAsia="仿宋" w:hAnsi="仿宋" w:cs="Times New Roman" w:hint="eastAsia"/>
                <w:sz w:val="24"/>
              </w:rPr>
              <w:t>率。</w:t>
            </w:r>
          </w:p>
          <w:p w14:paraId="1AE7C271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任务3：产品设计与开发</w:t>
            </w:r>
          </w:p>
          <w:p w14:paraId="481B2A2A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根据企业营销目标与组合营销策略。制定产品设计与开发计划，并结合生产计划与生产订单采购原料，租赁购买厂房，配置、优化生产线，提升生产效率。</w:t>
            </w:r>
          </w:p>
          <w:p w14:paraId="552D612D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任务4：销售管理</w:t>
            </w:r>
          </w:p>
          <w:p w14:paraId="48F5E5F8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根据市场需求数据和企业营销策略，面向直销客户、批发客户、零售客户，制定相应定价策略和促销策略，并投放媒体广告，吸引消费者购买产品，达到扩大销售量的目的。</w:t>
            </w:r>
          </w:p>
          <w:p w14:paraId="1C844725" w14:textId="77777777" w:rsidR="00035E2D" w:rsidRPr="00035E2D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任务5：经营核算与成本控制</w:t>
            </w:r>
          </w:p>
          <w:p w14:paraId="553C8715" w14:textId="19AA0713" w:rsidR="00876CBF" w:rsidRDefault="00035E2D" w:rsidP="0061587C">
            <w:pPr>
              <w:widowControl/>
              <w:rPr>
                <w:rFonts w:ascii="仿宋" w:eastAsia="仿宋" w:hAnsi="仿宋" w:cs="Times New Roman" w:hint="eastAsia"/>
                <w:sz w:val="24"/>
              </w:rPr>
            </w:pPr>
            <w:r w:rsidRPr="00035E2D">
              <w:rPr>
                <w:rFonts w:ascii="仿宋" w:eastAsia="仿宋" w:hAnsi="仿宋" w:cs="Times New Roman" w:hint="eastAsia"/>
                <w:sz w:val="24"/>
              </w:rPr>
              <w:t>根据企业经营状态和战略规划进行应收、应付账款和相关费用的结算，维持良好的资金流，并对财务报表进行盈亏分析，找出运营过程中的不足和缺陷，完成当期经营核算与成本控制，并制定下一步营销策略。</w:t>
            </w:r>
          </w:p>
        </w:tc>
        <w:tc>
          <w:tcPr>
            <w:tcW w:w="709" w:type="dxa"/>
            <w:vAlign w:val="center"/>
          </w:tcPr>
          <w:p w14:paraId="00F61C65" w14:textId="3FE631E1" w:rsidR="00876CBF" w:rsidRDefault="004109C7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240分钟</w:t>
            </w:r>
          </w:p>
        </w:tc>
        <w:tc>
          <w:tcPr>
            <w:tcW w:w="872" w:type="dxa"/>
            <w:vAlign w:val="center"/>
          </w:tcPr>
          <w:p w14:paraId="38511BB2" w14:textId="4CDE2BE8" w:rsidR="00876CBF" w:rsidRDefault="00035E2D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100</w:t>
            </w:r>
          </w:p>
        </w:tc>
      </w:tr>
    </w:tbl>
    <w:p w14:paraId="00D3D250" w14:textId="77777777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六、比赛环境</w:t>
      </w:r>
    </w:p>
    <w:p w14:paraId="0F3DD112" w14:textId="0E288053" w:rsidR="00876CBF" w:rsidRPr="00745FDD" w:rsidRDefault="006D4497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ITMC市场营销沙盘</w:t>
      </w:r>
    </w:p>
    <w:p w14:paraId="0227C0F1" w14:textId="77777777" w:rsidR="00876CBF" w:rsidRDefault="00000000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七、成绩评定与奖项设置</w:t>
      </w:r>
    </w:p>
    <w:p w14:paraId="00C02EB2" w14:textId="5AF1846E" w:rsidR="007945A4" w:rsidRPr="00745FDD" w:rsidRDefault="007945A4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45FDD">
        <w:rPr>
          <w:rFonts w:ascii="仿宋" w:eastAsia="仿宋" w:hAnsi="仿宋" w:hint="eastAsia"/>
          <w:sz w:val="24"/>
        </w:rPr>
        <w:t>成绩评定：</w:t>
      </w:r>
    </w:p>
    <w:p w14:paraId="5EF0BD52" w14:textId="5C59EC04" w:rsidR="00876CBF" w:rsidRPr="00745FDD" w:rsidRDefault="007945A4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45FDD">
        <w:rPr>
          <w:rFonts w:ascii="仿宋" w:eastAsia="仿宋" w:hAnsi="仿宋" w:hint="eastAsia"/>
          <w:sz w:val="24"/>
        </w:rPr>
        <w:lastRenderedPageBreak/>
        <w:t>每个赛场各参赛队独立经营一家企业，完成三个会计年度的情境营销活动，通过企业所有者权益、企业综合得分全面、综合衡量各参赛队的营销效果。营销效果=所有者权益*（1+企业综合总分/100）。中途破产的队伍按照破产先后顺序进行排序，如果在同一节点破产，则比较所有者权益。根据各参赛队营销效果排序，第一名</w:t>
      </w:r>
      <w:r w:rsidRPr="00745FDD">
        <w:rPr>
          <w:rFonts w:ascii="仿宋" w:eastAsia="仿宋" w:hAnsi="仿宋" w:hint="eastAsia"/>
          <w:sz w:val="24"/>
        </w:rPr>
        <w:t>100</w:t>
      </w:r>
      <w:r w:rsidRPr="00745FDD">
        <w:rPr>
          <w:rFonts w:ascii="仿宋" w:eastAsia="仿宋" w:hAnsi="仿宋" w:hint="eastAsia"/>
          <w:sz w:val="24"/>
        </w:rPr>
        <w:t>分，按照名次递减2分，第二名</w:t>
      </w:r>
      <w:r w:rsidRPr="00745FDD">
        <w:rPr>
          <w:rFonts w:ascii="仿宋" w:eastAsia="仿宋" w:hAnsi="仿宋" w:hint="eastAsia"/>
          <w:sz w:val="24"/>
        </w:rPr>
        <w:t>98</w:t>
      </w:r>
      <w:r w:rsidRPr="00745FDD">
        <w:rPr>
          <w:rFonts w:ascii="仿宋" w:eastAsia="仿宋" w:hAnsi="仿宋" w:hint="eastAsia"/>
          <w:sz w:val="24"/>
        </w:rPr>
        <w:t>分，依此类推。同时，裁判将审核录屏，一旦发现参赛团队有违规操作行为，则该模块记为0分。</w:t>
      </w:r>
    </w:p>
    <w:p w14:paraId="056002CA" w14:textId="7F3B0384" w:rsidR="007945A4" w:rsidRPr="00745FDD" w:rsidRDefault="007945A4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745FDD">
        <w:rPr>
          <w:rFonts w:ascii="仿宋" w:eastAsia="仿宋" w:hAnsi="仿宋" w:hint="eastAsia"/>
          <w:sz w:val="24"/>
        </w:rPr>
        <w:t>奖项设置：</w:t>
      </w:r>
    </w:p>
    <w:p w14:paraId="6EEDC748" w14:textId="7E72637F" w:rsidR="007945A4" w:rsidRPr="00745FDD" w:rsidRDefault="007945A4" w:rsidP="00745FDD">
      <w:pPr>
        <w:widowControl/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 w:rsidRPr="00745FDD">
        <w:rPr>
          <w:rFonts w:ascii="仿宋" w:eastAsia="仿宋" w:hAnsi="仿宋" w:hint="eastAsia"/>
          <w:sz w:val="24"/>
        </w:rPr>
        <w:t>本次大赛设一等奖1项，二等奖2项，三等奖3项，奖励标准参照学校相关办法执行。</w:t>
      </w:r>
    </w:p>
    <w:sectPr w:rsidR="007945A4" w:rsidRPr="00745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74DD8" w14:textId="77777777" w:rsidR="00AA5587" w:rsidRDefault="00AA5587" w:rsidP="005F7BB4">
      <w:r>
        <w:separator/>
      </w:r>
    </w:p>
  </w:endnote>
  <w:endnote w:type="continuationSeparator" w:id="0">
    <w:p w14:paraId="773D192D" w14:textId="77777777" w:rsidR="00AA5587" w:rsidRDefault="00AA5587" w:rsidP="005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B51A06" w14:textId="77777777" w:rsidR="00AA5587" w:rsidRDefault="00AA5587" w:rsidP="005F7BB4">
      <w:r>
        <w:separator/>
      </w:r>
    </w:p>
  </w:footnote>
  <w:footnote w:type="continuationSeparator" w:id="0">
    <w:p w14:paraId="4F7EF27E" w14:textId="77777777" w:rsidR="00AA5587" w:rsidRDefault="00AA5587" w:rsidP="005F7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M4ODA0YjI4YjYxNDhkMzUyODUyOTU0ZWZhNmEwYTEifQ=="/>
  </w:docVars>
  <w:rsids>
    <w:rsidRoot w:val="00876CBF"/>
    <w:rsid w:val="00030964"/>
    <w:rsid w:val="00035E2D"/>
    <w:rsid w:val="001063D1"/>
    <w:rsid w:val="001F7009"/>
    <w:rsid w:val="00262F2F"/>
    <w:rsid w:val="004109C7"/>
    <w:rsid w:val="00481824"/>
    <w:rsid w:val="004C2ADC"/>
    <w:rsid w:val="005F7BB4"/>
    <w:rsid w:val="0061587C"/>
    <w:rsid w:val="006D4497"/>
    <w:rsid w:val="00745FDD"/>
    <w:rsid w:val="007945A4"/>
    <w:rsid w:val="007E7835"/>
    <w:rsid w:val="00876CBF"/>
    <w:rsid w:val="008D083F"/>
    <w:rsid w:val="009740B1"/>
    <w:rsid w:val="00AA5587"/>
    <w:rsid w:val="00AB567A"/>
    <w:rsid w:val="00B61017"/>
    <w:rsid w:val="00BF7EE0"/>
    <w:rsid w:val="00C4231C"/>
    <w:rsid w:val="00C878F5"/>
    <w:rsid w:val="00CE29BE"/>
    <w:rsid w:val="00FE52B5"/>
    <w:rsid w:val="00FF725A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84517"/>
  <w15:docId w15:val="{A1FA4F57-4CEF-428C-B02A-8E2B4D66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B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F7B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F7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F7B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党莹</dc:creator>
  <cp:lastModifiedBy>lisa</cp:lastModifiedBy>
  <cp:revision>19</cp:revision>
  <dcterms:created xsi:type="dcterms:W3CDTF">2024-11-04T15:45:00Z</dcterms:created>
  <dcterms:modified xsi:type="dcterms:W3CDTF">2024-11-05T03:24:00Z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