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“汽车故障检修”赛项比赛通知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38F7F53B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b w:val="0"/>
          <w:bCs w:val="0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汽车故障检修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4BE6F411">
      <w:pPr>
        <w:spacing w:line="360" w:lineRule="auto"/>
        <w:ind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为贯彻党的二十大“加快建设交通强国”的决策部署，推动落实《国家职业教育改革实施方案》，加快职业教育制度创新，落实立德树人根本任务，培养具备“行业特质、爱国情怀、中国精神、国际视野”的综合型技术技能人才、能工巧匠、大国工匠。</w:t>
      </w:r>
    </w:p>
    <w:p w14:paraId="706616BF">
      <w:pPr>
        <w:spacing w:line="360" w:lineRule="auto"/>
        <w:ind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本赛项结合《新能源汽车产业发展规划（2021—2035年）》的目标要求，彰显中国职教特色，优化企业参与机制，服务汽车经济社会“购买管理”向“使用管理”转化，对接汽车“新四化”、新技术、新工艺、新能源，融入新的科技成果和企业技术，推动职业教育提档升级，办成国际水准的高水平技能赛事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本赛项紧紧围绕职业教育国家教学标准和企业真实工作任务要求，在考查选手汽车电控系统知识积累基础上，重点考查参赛队安全生产、组织管理、解决现场问题能力等职业技能与综合素养。通过“汽车故障检修”竞赛，检验高职院校汽车技术类专业（群）的教育教学成果，助推具有工匠精神的复合型技术技能人才的培养，达成产教协同育人目标，引领专业建设发展，加快三教改革创新的步伐。同时展示参赛队精湛的技艺、信息素养、创新精神等良好的精神风貌，向社会宣传职业教育成就，促进产教研用一体化，促进职业教育高水平高质量发展。</w:t>
      </w: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098D2927">
      <w:pPr>
        <w:spacing w:line="360" w:lineRule="auto"/>
        <w:ind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以班级为单位进行线下报名。 </w:t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27B29191">
      <w:pPr>
        <w:spacing w:line="360" w:lineRule="auto"/>
        <w:ind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比赛时间安排：初赛时间2024年11月20日，决赛时间11月26日。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19B8924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参赛选手须为2024年度我校在籍学生（以报名时的学籍信息为准）。五年制高职学生报名参赛的, 须为高职段四、五学期全日制在籍学生。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78952D02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竞赛以线下比赛形式进行，竞赛组队方式为团体赛。每个参赛队2名选手组成，不限性别。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tbl>
      <w:tblPr>
        <w:tblStyle w:val="5"/>
        <w:tblpPr w:leftFromText="180" w:rightFromText="180" w:vertAnchor="text" w:horzAnchor="page" w:tblpX="1792" w:tblpY="4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165"/>
        <w:gridCol w:w="1382"/>
        <w:gridCol w:w="1382"/>
        <w:gridCol w:w="1382"/>
      </w:tblGrid>
      <w:tr w14:paraId="799D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A1DAA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内容</w:t>
            </w:r>
          </w:p>
        </w:tc>
        <w:tc>
          <w:tcPr>
            <w:tcW w:w="1276" w:type="dxa"/>
          </w:tcPr>
          <w:p w14:paraId="4D599BA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日期</w:t>
            </w:r>
          </w:p>
        </w:tc>
        <w:tc>
          <w:tcPr>
            <w:tcW w:w="2165" w:type="dxa"/>
          </w:tcPr>
          <w:p w14:paraId="498BD27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</w:tcPr>
          <w:p w14:paraId="35031B6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场次</w:t>
            </w:r>
          </w:p>
        </w:tc>
        <w:tc>
          <w:tcPr>
            <w:tcW w:w="1382" w:type="dxa"/>
          </w:tcPr>
          <w:p w14:paraId="63E3908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内容</w:t>
            </w:r>
          </w:p>
        </w:tc>
        <w:tc>
          <w:tcPr>
            <w:tcW w:w="1382" w:type="dxa"/>
          </w:tcPr>
          <w:p w14:paraId="71991BB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地点</w:t>
            </w:r>
          </w:p>
        </w:tc>
      </w:tr>
      <w:tr w14:paraId="7C39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B0A71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预赛</w:t>
            </w:r>
          </w:p>
        </w:tc>
        <w:tc>
          <w:tcPr>
            <w:tcW w:w="1276" w:type="dxa"/>
          </w:tcPr>
          <w:p w14:paraId="203390A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  <w:tc>
          <w:tcPr>
            <w:tcW w:w="2165" w:type="dxa"/>
          </w:tcPr>
          <w:p w14:paraId="4B31020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13：30——15:00</w:t>
            </w:r>
          </w:p>
        </w:tc>
        <w:tc>
          <w:tcPr>
            <w:tcW w:w="1382" w:type="dxa"/>
          </w:tcPr>
          <w:p w14:paraId="7B31E3F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全一场</w:t>
            </w:r>
          </w:p>
        </w:tc>
        <w:tc>
          <w:tcPr>
            <w:tcW w:w="1382" w:type="dxa"/>
          </w:tcPr>
          <w:p w14:paraId="0289F00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理论考试</w:t>
            </w:r>
          </w:p>
        </w:tc>
        <w:tc>
          <w:tcPr>
            <w:tcW w:w="1382" w:type="dxa"/>
          </w:tcPr>
          <w:p w14:paraId="625222B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7EAB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557155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决赛</w:t>
            </w:r>
          </w:p>
        </w:tc>
        <w:tc>
          <w:tcPr>
            <w:tcW w:w="1276" w:type="dxa"/>
          </w:tcPr>
          <w:p w14:paraId="25D07EBE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  <w:tc>
          <w:tcPr>
            <w:tcW w:w="2165" w:type="dxa"/>
          </w:tcPr>
          <w:p w14:paraId="523EEC5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8:50——9:50</w:t>
            </w:r>
          </w:p>
        </w:tc>
        <w:tc>
          <w:tcPr>
            <w:tcW w:w="1382" w:type="dxa"/>
          </w:tcPr>
          <w:p w14:paraId="468CB9B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第一场</w:t>
            </w:r>
          </w:p>
        </w:tc>
        <w:tc>
          <w:tcPr>
            <w:tcW w:w="1382" w:type="dxa"/>
          </w:tcPr>
          <w:p w14:paraId="0210409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2593478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5576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06A1B0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37BB55C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65" w:type="dxa"/>
          </w:tcPr>
          <w:p w14:paraId="667B9D0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10:00——11:00</w:t>
            </w:r>
          </w:p>
        </w:tc>
        <w:tc>
          <w:tcPr>
            <w:tcW w:w="1382" w:type="dxa"/>
          </w:tcPr>
          <w:p w14:paraId="3C1A493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第二场</w:t>
            </w:r>
          </w:p>
        </w:tc>
        <w:tc>
          <w:tcPr>
            <w:tcW w:w="1382" w:type="dxa"/>
          </w:tcPr>
          <w:p w14:paraId="7940812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50E5C0A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05F0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BDB3C5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17559A9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65" w:type="dxa"/>
          </w:tcPr>
          <w:p w14:paraId="2012CA3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11:10——12:10</w:t>
            </w:r>
          </w:p>
        </w:tc>
        <w:tc>
          <w:tcPr>
            <w:tcW w:w="1382" w:type="dxa"/>
          </w:tcPr>
          <w:p w14:paraId="2E7DC1C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第三场</w:t>
            </w:r>
          </w:p>
        </w:tc>
        <w:tc>
          <w:tcPr>
            <w:tcW w:w="1382" w:type="dxa"/>
          </w:tcPr>
          <w:p w14:paraId="750E5B1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7A81B0F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3C8F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B02C4B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3A8167E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65" w:type="dxa"/>
          </w:tcPr>
          <w:p w14:paraId="5409B21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8:50——9:50</w:t>
            </w:r>
          </w:p>
        </w:tc>
        <w:tc>
          <w:tcPr>
            <w:tcW w:w="1382" w:type="dxa"/>
          </w:tcPr>
          <w:p w14:paraId="61D90424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场</w:t>
            </w:r>
          </w:p>
        </w:tc>
        <w:tc>
          <w:tcPr>
            <w:tcW w:w="1382" w:type="dxa"/>
          </w:tcPr>
          <w:p w14:paraId="54ACCB5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4003191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7564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AB6DCB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4E5F38C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65" w:type="dxa"/>
          </w:tcPr>
          <w:p w14:paraId="2424790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10:00——11:00</w:t>
            </w:r>
          </w:p>
        </w:tc>
        <w:tc>
          <w:tcPr>
            <w:tcW w:w="1382" w:type="dxa"/>
          </w:tcPr>
          <w:p w14:paraId="071CB39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场</w:t>
            </w:r>
          </w:p>
        </w:tc>
        <w:tc>
          <w:tcPr>
            <w:tcW w:w="1382" w:type="dxa"/>
          </w:tcPr>
          <w:p w14:paraId="4DF288A8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75241CA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  <w:tr w14:paraId="4AAE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CACA4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6" w:type="dxa"/>
          </w:tcPr>
          <w:p w14:paraId="039B2E4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65" w:type="dxa"/>
          </w:tcPr>
          <w:p w14:paraId="2C9C15B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11:10——12:10</w:t>
            </w:r>
          </w:p>
        </w:tc>
        <w:tc>
          <w:tcPr>
            <w:tcW w:w="1382" w:type="dxa"/>
          </w:tcPr>
          <w:p w14:paraId="637B252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场</w:t>
            </w:r>
          </w:p>
        </w:tc>
        <w:tc>
          <w:tcPr>
            <w:tcW w:w="1382" w:type="dxa"/>
          </w:tcPr>
          <w:p w14:paraId="4C8EEE5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实操考核</w:t>
            </w:r>
          </w:p>
        </w:tc>
        <w:tc>
          <w:tcPr>
            <w:tcW w:w="1382" w:type="dxa"/>
          </w:tcPr>
          <w:p w14:paraId="3FE1DE3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5401</w:t>
            </w:r>
          </w:p>
        </w:tc>
      </w:tr>
    </w:tbl>
    <w:p w14:paraId="55AC2957">
      <w:pPr>
        <w:spacing w:line="360" w:lineRule="auto"/>
        <w:ind w:firstLine="480" w:firstLineChars="200"/>
        <w:rPr>
          <w:rFonts w:hint="eastAsia" w:ascii="黑体" w:hAnsi="黑体" w:eastAsia="黑体"/>
          <w:sz w:val="24"/>
          <w:lang w:val="en-US" w:eastAsia="zh-CN"/>
        </w:rPr>
      </w:pP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5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67"/>
        <w:gridCol w:w="1994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267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1994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267" w:type="dxa"/>
            <w:noWrap w:val="0"/>
            <w:vAlign w:val="top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汽车灯光系统检修</w:t>
            </w:r>
          </w:p>
        </w:tc>
        <w:tc>
          <w:tcPr>
            <w:tcW w:w="1994" w:type="dxa"/>
            <w:noWrap w:val="0"/>
            <w:vAlign w:val="top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30分钟</w:t>
            </w:r>
          </w:p>
        </w:tc>
        <w:tc>
          <w:tcPr>
            <w:tcW w:w="2131" w:type="dxa"/>
            <w:noWrap w:val="0"/>
            <w:vAlign w:val="top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50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267" w:type="dxa"/>
            <w:noWrap w:val="0"/>
            <w:vAlign w:val="top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汽车舒适系统检修</w:t>
            </w:r>
          </w:p>
        </w:tc>
        <w:tc>
          <w:tcPr>
            <w:tcW w:w="1994" w:type="dxa"/>
            <w:noWrap w:val="0"/>
            <w:vAlign w:val="top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30分钟</w:t>
            </w:r>
          </w:p>
        </w:tc>
        <w:tc>
          <w:tcPr>
            <w:tcW w:w="2131" w:type="dxa"/>
            <w:noWrap w:val="0"/>
            <w:vAlign w:val="top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50</w:t>
            </w:r>
          </w:p>
        </w:tc>
      </w:tr>
    </w:tbl>
    <w:p w14:paraId="47744D7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模块一</w:t>
      </w:r>
    </w:p>
    <w:p w14:paraId="6D454582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1.作业要求</w:t>
      </w:r>
    </w:p>
    <w:p w14:paraId="014DBD57">
      <w:pPr>
        <w:pStyle w:val="2"/>
        <w:spacing w:line="360" w:lineRule="auto"/>
        <w:ind w:firstLine="480" w:firstLineChars="200"/>
        <w:jc w:val="left"/>
        <w:rPr>
          <w:rFonts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在规定时间内，要求参赛选手对发动机无法起动（不可以使用故障诊断仪）、发动机工作不良故障进行诊断与排除；依据维修手册的规范完成作业流程，发现和确认故障点，可结合示波器将所有的故障修理到车辆的正常状态，完整准确填写《发动机管理技术选手报告单》。作业过程中要熟练地查阅维修资料、规范使用工量具和仪器设备、准确测量技术参数和判断故障点，做到安全文明作业。</w:t>
      </w:r>
    </w:p>
    <w:p w14:paraId="4E5BFCB1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2.考核要点</w:t>
      </w:r>
    </w:p>
    <w:p w14:paraId="7773F65E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围绕燃油汽车发动机无法起动、发动机工作不良两种故障现象，进行检测分析并查找故障点。重点考察参赛选手对车辆的结构和控制逻辑的理解程度；考察参赛选手对万用表、故障诊断仪、示波器等常用诊断设备的应用能力；要求对发动机管理技术系统进行故障诊断，包括前期准备、安全检查、仪器连接、症状确认、目视检查、故障码和数据流检查、元器件测量、电路测量、故障点确认和排除、现场5S整理等。</w:t>
      </w:r>
    </w:p>
    <w:p w14:paraId="19CDC0B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</w:p>
    <w:p w14:paraId="2AC942C5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1.作业要求</w:t>
      </w:r>
    </w:p>
    <w:p w14:paraId="16272953">
      <w:pPr>
        <w:pStyle w:val="2"/>
        <w:spacing w:line="360" w:lineRule="auto"/>
        <w:ind w:firstLine="480" w:firstLineChars="200"/>
        <w:jc w:val="left"/>
        <w:rPr>
          <w:rFonts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在规定时间内，要求参赛选手对车身电气技术系统故障（不使用故障诊断仪）进行诊断与排除；依据维修手册的规范完成作业流程，发现和确认故障点，将所有的故障修理到车辆的正常状态，完整准确填写《车身电气技术选手报告单》。作业过程中要熟练地查阅维修资料、规范使用工量具和仪器设备、准确测量技术参数和判断故障点，做到安全文明作业。</w:t>
      </w:r>
    </w:p>
    <w:p w14:paraId="3896BDFF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2.考核要点</w:t>
      </w:r>
    </w:p>
    <w:p w14:paraId="6AEBDDE9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围绕燃油汽车电源管理系统、仪表与警告装置、车载网络系统、车身附件电路（雨刮、喇叭、车窗、座椅、门锁、后视镜等）、照明系统进行检测分析并查找故障点。重点考察参赛选手对车辆的结构和控制逻辑的理解程度；考察参赛选手对万用表、示波器等常用诊断设备的应用能力；要求对车身电气技术系统进行故障诊断，包括前期准备、安全检查、仪器连接、症状确认、目视检查、故障码和数据流检查、元器件测量、电路测量、故障点确认和排除、现场5S整理等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72514856">
      <w:pPr>
        <w:pStyle w:val="2"/>
        <w:spacing w:line="360" w:lineRule="auto"/>
        <w:ind w:firstLine="480" w:firstLineChars="20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竞赛场地在承办院校合格场地进行，在5</w:t>
      </w:r>
      <w:r>
        <w:rPr>
          <w:rFonts w:ascii="仿宋" w:hAnsi="仿宋" w:eastAsia="仿宋" w:cs="仿宋_GB2312"/>
          <w:bCs/>
          <w:kern w:val="0"/>
          <w:sz w:val="24"/>
        </w:rPr>
        <w:t>401</w:t>
      </w:r>
      <w:r>
        <w:rPr>
          <w:rFonts w:hint="eastAsia" w:ascii="仿宋" w:hAnsi="仿宋" w:eastAsia="仿宋" w:cs="仿宋_GB2312"/>
          <w:bCs/>
          <w:kern w:val="0"/>
          <w:sz w:val="24"/>
        </w:rPr>
        <w:t>汽车电气综合实训室进行。选手应提前熟悉场地。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0FB4CC81">
      <w:pPr>
        <w:spacing w:line="560" w:lineRule="exact"/>
        <w:ind w:firstLine="480" w:firstLineChars="200"/>
        <w:rPr>
          <w:rFonts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赛项裁判组负责赛项成绩评定工作。评分标准以“公平、公正、公开”为原则，采用过程评分和结果评分两种方式。</w:t>
      </w:r>
    </w:p>
    <w:p w14:paraId="4053684A">
      <w:pPr>
        <w:pStyle w:val="2"/>
        <w:spacing w:line="360" w:lineRule="auto"/>
        <w:ind w:firstLine="360" w:firstLineChars="150"/>
        <w:jc w:val="left"/>
        <w:rPr>
          <w:rFonts w:hint="eastAsia" w:ascii="仿宋" w:hAnsi="仿宋" w:eastAsia="仿宋" w:cs="仿宋_GB2312"/>
          <w:bCs/>
          <w:kern w:val="0"/>
          <w:sz w:val="24"/>
        </w:rPr>
      </w:pPr>
      <w:r>
        <w:rPr>
          <w:rFonts w:hint="eastAsia" w:ascii="仿宋" w:hAnsi="仿宋" w:eastAsia="仿宋" w:cs="仿宋_GB2312"/>
          <w:bCs/>
          <w:kern w:val="0"/>
          <w:sz w:val="24"/>
        </w:rPr>
        <w:t>本赛项将产生一等奖1</w:t>
      </w:r>
      <w:r>
        <w:rPr>
          <w:rFonts w:hint="eastAsia" w:ascii="仿宋" w:hAnsi="仿宋" w:eastAsia="仿宋" w:cs="仿宋_GB2312"/>
          <w:bCs/>
          <w:kern w:val="0"/>
          <w:sz w:val="24"/>
          <w:lang w:val="en-US" w:eastAsia="zh-CN"/>
        </w:rPr>
        <w:t>队</w:t>
      </w:r>
      <w:r>
        <w:rPr>
          <w:rFonts w:hint="eastAsia" w:ascii="仿宋" w:hAnsi="仿宋" w:eastAsia="仿宋" w:cs="仿宋_GB2312"/>
          <w:bCs/>
          <w:kern w:val="0"/>
          <w:sz w:val="24"/>
        </w:rPr>
        <w:t>，二等奖2</w:t>
      </w:r>
      <w:r>
        <w:rPr>
          <w:rFonts w:hint="eastAsia" w:ascii="仿宋" w:hAnsi="仿宋" w:eastAsia="仿宋" w:cs="仿宋_GB2312"/>
          <w:bCs/>
          <w:kern w:val="0"/>
          <w:sz w:val="24"/>
          <w:lang w:val="en-US" w:eastAsia="zh-CN"/>
        </w:rPr>
        <w:t>队</w:t>
      </w:r>
      <w:r>
        <w:rPr>
          <w:rFonts w:hint="eastAsia" w:ascii="仿宋" w:hAnsi="仿宋" w:eastAsia="仿宋" w:cs="仿宋_GB2312"/>
          <w:bCs/>
          <w:kern w:val="0"/>
          <w:sz w:val="24"/>
        </w:rPr>
        <w:t>，三等奖3</w:t>
      </w:r>
      <w:r>
        <w:rPr>
          <w:rFonts w:hint="eastAsia" w:ascii="仿宋" w:hAnsi="仿宋" w:eastAsia="仿宋" w:cs="仿宋_GB2312"/>
          <w:bCs/>
          <w:kern w:val="0"/>
          <w:sz w:val="24"/>
          <w:lang w:val="en-US" w:eastAsia="zh-CN"/>
        </w:rPr>
        <w:t>队</w:t>
      </w:r>
      <w:bookmarkStart w:id="0" w:name="_GoBack"/>
      <w:bookmarkEnd w:id="0"/>
      <w:r>
        <w:rPr>
          <w:rFonts w:hint="eastAsia" w:ascii="仿宋" w:hAnsi="仿宋" w:eastAsia="仿宋" w:cs="仿宋_GB2312"/>
          <w:bCs/>
          <w:kern w:val="0"/>
          <w:sz w:val="24"/>
        </w:rPr>
        <w:t>，并择优确定省赛培训选手。</w:t>
      </w:r>
    </w:p>
    <w:p w14:paraId="54C60F19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ZDQ3MmUzNmU4YjBkODE4YThlNGE0Y2I1NzcyYWEifQ=="/>
  </w:docVars>
  <w:rsids>
    <w:rsidRoot w:val="00000000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3B4747"/>
    <w:rsid w:val="24C15128"/>
    <w:rsid w:val="2952197F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155</Characters>
  <Lines>0</Lines>
  <Paragraphs>0</Paragraphs>
  <TotalTime>0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Lenovo</cp:lastModifiedBy>
  <dcterms:modified xsi:type="dcterms:W3CDTF">2024-11-04T10:15:10Z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E6C13EEFAE924747B81678A6667D621E_13</vt:lpwstr>
  </property>
</Properties>
</file>